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sdt>
      <w:sdtPr>
        <w:rPr>
          <w:color w:val="156082" w:themeColor="accent1"/>
          <w:sz w:val="22"/>
          <w:szCs w:val="22"/>
        </w:rPr>
        <w:id w:val="581954986"/>
        <w:docPartObj>
          <w:docPartGallery w:val="Cover Pages"/>
          <w:docPartUnique/>
        </w:docPartObj>
      </w:sdtPr>
      <w:sdtEndPr>
        <w:rPr>
          <w:color w:val="auto"/>
          <w:sz w:val="22"/>
          <w:szCs w:val="22"/>
        </w:rPr>
      </w:sdtEndPr>
      <w:sdtContent>
        <w:p w:rsidR="00E90B6C" w:rsidRDefault="00E90B6C" w14:paraId="2ADA0C10" w14:textId="39B72A9C">
          <w:pPr>
            <w:pStyle w:val="NoSpacing"/>
            <w:spacing w:before="1540" w:after="240"/>
            <w:jc w:val="center"/>
            <w:rPr>
              <w:color w:val="156082" w:themeColor="accent1"/>
            </w:rPr>
          </w:pPr>
          <w:r>
            <w:rPr>
              <w:noProof/>
            </w:rPr>
            <w:drawing>
              <wp:inline distT="0" distB="0" distL="0" distR="0" wp14:anchorId="23126D88" wp14:editId="796F30FC">
                <wp:extent cx="2286000" cy="1194564"/>
                <wp:effectExtent l="0" t="0" r="0" b="0"/>
                <wp:docPr id="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13"/>
                        <a:stretch>
                          <a:fillRect/>
                        </a:stretch>
                      </pic:blipFill>
                      <pic:spPr>
                        <a:xfrm>
                          <a:off x="0" y="0"/>
                          <a:ext cx="2286000" cy="1194564"/>
                        </a:xfrm>
                        <a:prstGeom prst="rect">
                          <a:avLst/>
                        </a:prstGeom>
                      </pic:spPr>
                    </pic:pic>
                  </a:graphicData>
                </a:graphic>
              </wp:inline>
            </w:drawing>
          </w:r>
        </w:p>
        <w:sdt>
          <w:sdtPr>
            <w:rPr>
              <w:rFonts w:asciiTheme="majorHAnsi" w:hAnsiTheme="majorHAnsi" w:eastAsiaTheme="majorEastAsia" w:cstheme="majorBidi"/>
              <w:caps/>
              <w:color w:val="C00000"/>
              <w:sz w:val="72"/>
              <w:szCs w:val="72"/>
            </w:rPr>
            <w:alias w:val="Title"/>
            <w:tag w:val=""/>
            <w:id w:val="1735040861"/>
            <w:placeholder>
              <w:docPart w:val="7FB04AC20DE54BAE943EC93FAABE95F6"/>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Pr="00E90B6C" w:rsidR="00E90B6C" w:rsidRDefault="00E90B6C" w14:paraId="0A0D8BFF" w14:textId="0329BF33">
              <w:pPr>
                <w:pStyle w:val="NoSpacing"/>
                <w:pBdr>
                  <w:top w:val="single" w:color="156082" w:themeColor="accent1" w:sz="6" w:space="6"/>
                  <w:bottom w:val="single" w:color="156082" w:themeColor="accent1" w:sz="6" w:space="6"/>
                </w:pBdr>
                <w:spacing w:after="240"/>
                <w:jc w:val="center"/>
                <w:rPr>
                  <w:rFonts w:asciiTheme="majorHAnsi" w:hAnsiTheme="majorHAnsi" w:eastAsiaTheme="majorEastAsia" w:cstheme="majorBidi"/>
                  <w:caps/>
                  <w:color w:val="C00000"/>
                  <w:sz w:val="80"/>
                  <w:szCs w:val="80"/>
                </w:rPr>
              </w:pPr>
              <w:r w:rsidRPr="00E90B6C">
                <w:rPr>
                  <w:rFonts w:asciiTheme="majorHAnsi" w:hAnsiTheme="majorHAnsi" w:eastAsiaTheme="majorEastAsia" w:cstheme="majorBidi"/>
                  <w:caps/>
                  <w:color w:val="C00000"/>
                  <w:sz w:val="72"/>
                  <w:szCs w:val="72"/>
                </w:rPr>
                <w:t>memorandum of understan</w:t>
              </w:r>
              <w:r w:rsidR="0057439B">
                <w:rPr>
                  <w:rFonts w:asciiTheme="majorHAnsi" w:hAnsiTheme="majorHAnsi" w:eastAsiaTheme="majorEastAsia" w:cstheme="majorBidi"/>
                  <w:caps/>
                  <w:color w:val="C00000"/>
                  <w:sz w:val="72"/>
                  <w:szCs w:val="72"/>
                </w:rPr>
                <w:t>d</w:t>
              </w:r>
              <w:r w:rsidRPr="00E90B6C">
                <w:rPr>
                  <w:rFonts w:asciiTheme="majorHAnsi" w:hAnsiTheme="majorHAnsi" w:eastAsiaTheme="majorEastAsia" w:cstheme="majorBidi"/>
                  <w:caps/>
                  <w:color w:val="C00000"/>
                  <w:sz w:val="72"/>
                  <w:szCs w:val="72"/>
                </w:rPr>
                <w:t>ing</w:t>
              </w:r>
            </w:p>
          </w:sdtContent>
        </w:sdt>
        <w:sdt>
          <w:sdtPr>
            <w:rPr>
              <w:b/>
              <w:bCs/>
              <w:color w:val="C00000"/>
              <w:sz w:val="28"/>
              <w:szCs w:val="28"/>
            </w:rPr>
            <w:alias w:val="Subtitle"/>
            <w:tag w:val=""/>
            <w:id w:val="328029620"/>
            <w:placeholder>
              <w:docPart w:val="27ACD4153D3648FCB896260EBB616519"/>
            </w:placeholder>
            <w:dataBinding w:prefixMappings="xmlns:ns0='http://purl.org/dc/elements/1.1/' xmlns:ns1='http://schemas.openxmlformats.org/package/2006/metadata/core-properties' " w:xpath="/ns1:coreProperties[1]/ns0:subject[1]" w:storeItemID="{6C3C8BC8-F283-45AE-878A-BAB7291924A1}"/>
            <w:text/>
          </w:sdtPr>
          <w:sdtEndPr>
            <w:rPr>
              <w:color w:val="156082" w:themeColor="accent1"/>
            </w:rPr>
          </w:sdtEndPr>
          <w:sdtContent>
            <w:p w:rsidR="00E90B6C" w:rsidRDefault="00EE3D92" w14:paraId="44C0625E" w14:textId="2EC587FC">
              <w:pPr>
                <w:pStyle w:val="NoSpacing"/>
                <w:jc w:val="center"/>
                <w:rPr>
                  <w:color w:val="156082" w:themeColor="accent1"/>
                  <w:sz w:val="28"/>
                  <w:szCs w:val="28"/>
                </w:rPr>
              </w:pPr>
              <w:r>
                <w:rPr>
                  <w:b/>
                  <w:bCs/>
                  <w:color w:val="C00000"/>
                  <w:sz w:val="28"/>
                  <w:szCs w:val="28"/>
                </w:rPr>
                <w:t>Between</w:t>
              </w:r>
            </w:p>
          </w:sdtContent>
        </w:sdt>
        <w:p w:rsidR="00E90B6C" w:rsidP="61E44670" w:rsidRDefault="00E90B6C" w14:paraId="73E2C130" w14:textId="5DBF65A2">
          <w:pPr>
            <w:pStyle w:val="NoSpacing"/>
            <w:suppressLineNumbers w:val="0"/>
            <w:bidi w:val="0"/>
            <w:spacing w:before="480" w:beforeAutospacing="off" w:after="0" w:afterAutospacing="off" w:line="240" w:lineRule="auto"/>
            <w:ind w:left="0" w:right="0"/>
            <w:jc w:val="center"/>
          </w:pPr>
          <w:r w:rsidRPr="61E44670" w:rsidR="61E44670">
            <w:rPr>
              <w:b w:val="1"/>
              <w:bCs w:val="1"/>
              <w:color w:val="C00000"/>
              <w:sz w:val="36"/>
              <w:szCs w:val="36"/>
            </w:rPr>
            <w:t>The Proprietor Trust Board</w:t>
          </w:r>
          <w:r>
            <w:br/>
          </w:r>
          <w:r w:rsidRPr="61E44670" w:rsidR="61E44670">
            <w:rPr>
              <w:b w:val="1"/>
              <w:bCs w:val="1"/>
              <w:color w:val="C00000"/>
              <w:sz w:val="36"/>
              <w:szCs w:val="36"/>
            </w:rPr>
            <w:t>and</w:t>
          </w:r>
          <w:r>
            <w:br/>
          </w:r>
          <w:r w:rsidRPr="61E44670" w:rsidR="61E44670">
            <w:rPr>
              <w:b w:val="1"/>
              <w:bCs w:val="1"/>
              <w:color w:val="C00000"/>
              <w:sz w:val="36"/>
              <w:szCs w:val="36"/>
            </w:rPr>
            <w:t xml:space="preserve">The School Board of </w:t>
          </w:r>
          <w:r w:rsidRPr="61E44670" w:rsidR="61E44670">
            <w:rPr>
              <w:b w:val="1"/>
              <w:bCs w:val="1"/>
              <w:color w:val="C00000"/>
              <w:sz w:val="36"/>
              <w:szCs w:val="36"/>
            </w:rPr>
            <w:t>Timatanga</w:t>
          </w:r>
          <w:r w:rsidRPr="61E44670" w:rsidR="61E44670">
            <w:rPr>
              <w:b w:val="1"/>
              <w:bCs w:val="1"/>
              <w:color w:val="C00000"/>
              <w:sz w:val="36"/>
              <w:szCs w:val="36"/>
            </w:rPr>
            <w:t xml:space="preserve"> Community School</w:t>
          </w:r>
        </w:p>
        <w:p w:rsidR="00E90B6C" w:rsidP="00E90B6C" w:rsidRDefault="00E90B6C" w14:paraId="52FB1FE3" w14:textId="77777777">
          <w:pPr>
            <w:jc w:val="center"/>
          </w:pPr>
        </w:p>
        <w:p w:rsidRPr="00E90B6C" w:rsidR="00E90B6C" w:rsidP="00E90B6C" w:rsidRDefault="00E90B6C" w14:paraId="5D1A3D1B" w14:textId="1DAE8F27">
          <w:pPr>
            <w:jc w:val="center"/>
            <w:rPr>
              <w:color w:val="C00000"/>
            </w:rPr>
          </w:pPr>
          <w:r w:rsidRPr="00E90B6C">
            <w:rPr>
              <w:color w:val="C00000"/>
            </w:rPr>
            <w:t>Template</w:t>
          </w:r>
          <w:r w:rsidRPr="00E90B6C">
            <w:rPr>
              <w:color w:val="C00000"/>
            </w:rPr>
            <w:br/>
          </w:r>
          <w:r w:rsidRPr="00E90B6C">
            <w:rPr>
              <w:color w:val="C00000"/>
            </w:rPr>
            <w:t>to be adapted for school</w:t>
          </w:r>
          <w:r w:rsidR="00251141">
            <w:rPr>
              <w:color w:val="C00000"/>
            </w:rPr>
            <w:t xml:space="preserve"> board &amp; proprietor </w:t>
          </w:r>
          <w:r w:rsidRPr="00E90B6C">
            <w:rPr>
              <w:color w:val="C00000"/>
            </w:rPr>
            <w:t>use</w:t>
          </w:r>
        </w:p>
        <w:p w:rsidR="00E90B6C" w:rsidRDefault="00E90B6C" w14:paraId="238A9AD9" w14:textId="3BCA90F1">
          <w:pPr>
            <w:pStyle w:val="NoSpacing"/>
            <w:spacing w:before="480"/>
            <w:jc w:val="center"/>
            <w:rPr>
              <w:color w:val="156082" w:themeColor="accent1"/>
            </w:rPr>
          </w:pPr>
        </w:p>
        <w:p w:rsidR="00E90B6C" w:rsidRDefault="00E90B6C" w14:paraId="1164DB44" w14:textId="6E015B73">
          <w:r>
            <w:br w:type="page"/>
          </w:r>
        </w:p>
      </w:sdtContent>
    </w:sdt>
    <w:p w:rsidRPr="00D16662" w:rsidR="00D16662" w:rsidRDefault="00D16662" w14:paraId="4CAED5B1" w14:textId="4EB02289">
      <w:pPr>
        <w:pStyle w:val="TOC1"/>
        <w:tabs>
          <w:tab w:val="right" w:leader="dot" w:pos="9350"/>
        </w:tabs>
        <w:rPr>
          <w:b/>
          <w:bCs/>
          <w:color w:val="C00000"/>
          <w:sz w:val="24"/>
          <w:szCs w:val="24"/>
        </w:rPr>
      </w:pPr>
      <w:r w:rsidRPr="00D16662">
        <w:rPr>
          <w:b/>
          <w:bCs/>
          <w:color w:val="C00000"/>
          <w:sz w:val="24"/>
          <w:szCs w:val="24"/>
        </w:rPr>
        <w:t>TABLE OF CONTENTS</w:t>
      </w:r>
    </w:p>
    <w:p w:rsidR="00356B19" w:rsidRDefault="00D16662" w14:paraId="1C0C31F0" w14:textId="4CC2E0D0">
      <w:pPr>
        <w:pStyle w:val="TOC1"/>
        <w:tabs>
          <w:tab w:val="right" w:leader="dot" w:pos="9350"/>
        </w:tabs>
        <w:rPr>
          <w:noProof/>
          <w:sz w:val="24"/>
          <w:szCs w:val="24"/>
          <w:lang w:val="en-NZ" w:eastAsia="en-NZ"/>
        </w:rPr>
      </w:pPr>
      <w:r>
        <w:fldChar w:fldCharType="begin"/>
      </w:r>
      <w:r>
        <w:instrText xml:space="preserve"> TOC \o "1-2" \h \z \u </w:instrText>
      </w:r>
      <w:r>
        <w:fldChar w:fldCharType="separate"/>
      </w:r>
      <w:hyperlink w:history="1" w:anchor="_Toc214449708">
        <w:r w:rsidRPr="001D46F0" w:rsidR="00356B19">
          <w:rPr>
            <w:rStyle w:val="Hyperlink"/>
            <w:noProof/>
          </w:rPr>
          <w:t>Background</w:t>
        </w:r>
        <w:r w:rsidR="00356B19">
          <w:rPr>
            <w:noProof/>
            <w:webHidden/>
          </w:rPr>
          <w:tab/>
        </w:r>
        <w:r w:rsidR="00356B19">
          <w:rPr>
            <w:noProof/>
            <w:webHidden/>
          </w:rPr>
          <w:fldChar w:fldCharType="begin"/>
        </w:r>
        <w:r w:rsidR="00356B19">
          <w:rPr>
            <w:noProof/>
            <w:webHidden/>
          </w:rPr>
          <w:instrText xml:space="preserve"> PAGEREF _Toc214449708 \h </w:instrText>
        </w:r>
        <w:r w:rsidR="00356B19">
          <w:rPr>
            <w:noProof/>
            <w:webHidden/>
          </w:rPr>
        </w:r>
        <w:r w:rsidR="00356B19">
          <w:rPr>
            <w:noProof/>
            <w:webHidden/>
          </w:rPr>
          <w:fldChar w:fldCharType="separate"/>
        </w:r>
        <w:r w:rsidR="00B6482C">
          <w:rPr>
            <w:noProof/>
            <w:webHidden/>
          </w:rPr>
          <w:t>2</w:t>
        </w:r>
        <w:r w:rsidR="00356B19">
          <w:rPr>
            <w:noProof/>
            <w:webHidden/>
          </w:rPr>
          <w:fldChar w:fldCharType="end"/>
        </w:r>
      </w:hyperlink>
    </w:p>
    <w:p w:rsidR="00356B19" w:rsidRDefault="00356B19" w14:paraId="1AE474D2" w14:textId="43F8E3FD">
      <w:pPr>
        <w:pStyle w:val="TOC1"/>
        <w:tabs>
          <w:tab w:val="right" w:leader="dot" w:pos="9350"/>
        </w:tabs>
        <w:rPr>
          <w:noProof/>
          <w:sz w:val="24"/>
          <w:szCs w:val="24"/>
          <w:lang w:val="en-NZ" w:eastAsia="en-NZ"/>
        </w:rPr>
      </w:pPr>
      <w:hyperlink w:history="1" w:anchor="_Toc214449709">
        <w:r w:rsidRPr="001D46F0">
          <w:rPr>
            <w:rStyle w:val="Hyperlink"/>
            <w:noProof/>
          </w:rPr>
          <w:t>Purpose and Scope</w:t>
        </w:r>
        <w:r>
          <w:rPr>
            <w:noProof/>
            <w:webHidden/>
          </w:rPr>
          <w:tab/>
        </w:r>
        <w:r>
          <w:rPr>
            <w:noProof/>
            <w:webHidden/>
          </w:rPr>
          <w:fldChar w:fldCharType="begin"/>
        </w:r>
        <w:r>
          <w:rPr>
            <w:noProof/>
            <w:webHidden/>
          </w:rPr>
          <w:instrText xml:space="preserve"> PAGEREF _Toc214449709 \h </w:instrText>
        </w:r>
        <w:r>
          <w:rPr>
            <w:noProof/>
            <w:webHidden/>
          </w:rPr>
        </w:r>
        <w:r>
          <w:rPr>
            <w:noProof/>
            <w:webHidden/>
          </w:rPr>
          <w:fldChar w:fldCharType="separate"/>
        </w:r>
        <w:r w:rsidR="00B6482C">
          <w:rPr>
            <w:noProof/>
            <w:webHidden/>
          </w:rPr>
          <w:t>2</w:t>
        </w:r>
        <w:r>
          <w:rPr>
            <w:noProof/>
            <w:webHidden/>
          </w:rPr>
          <w:fldChar w:fldCharType="end"/>
        </w:r>
      </w:hyperlink>
    </w:p>
    <w:p w:rsidR="00356B19" w:rsidRDefault="00356B19" w14:paraId="49624B58" w14:textId="7DBC29E1">
      <w:pPr>
        <w:pStyle w:val="TOC1"/>
        <w:tabs>
          <w:tab w:val="right" w:leader="dot" w:pos="9350"/>
        </w:tabs>
        <w:rPr>
          <w:noProof/>
          <w:sz w:val="24"/>
          <w:szCs w:val="24"/>
          <w:lang w:val="en-NZ" w:eastAsia="en-NZ"/>
        </w:rPr>
      </w:pPr>
      <w:hyperlink w:history="1" w:anchor="_Toc214449710">
        <w:r w:rsidRPr="001D46F0">
          <w:rPr>
            <w:rStyle w:val="Hyperlink"/>
            <w:noProof/>
          </w:rPr>
          <w:t>Interpretation</w:t>
        </w:r>
        <w:r>
          <w:rPr>
            <w:noProof/>
            <w:webHidden/>
          </w:rPr>
          <w:tab/>
        </w:r>
        <w:r>
          <w:rPr>
            <w:noProof/>
            <w:webHidden/>
          </w:rPr>
          <w:fldChar w:fldCharType="begin"/>
        </w:r>
        <w:r>
          <w:rPr>
            <w:noProof/>
            <w:webHidden/>
          </w:rPr>
          <w:instrText xml:space="preserve"> PAGEREF _Toc214449710 \h </w:instrText>
        </w:r>
        <w:r>
          <w:rPr>
            <w:noProof/>
            <w:webHidden/>
          </w:rPr>
        </w:r>
        <w:r>
          <w:rPr>
            <w:noProof/>
            <w:webHidden/>
          </w:rPr>
          <w:fldChar w:fldCharType="separate"/>
        </w:r>
        <w:r w:rsidR="00B6482C">
          <w:rPr>
            <w:noProof/>
            <w:webHidden/>
          </w:rPr>
          <w:t>2</w:t>
        </w:r>
        <w:r>
          <w:rPr>
            <w:noProof/>
            <w:webHidden/>
          </w:rPr>
          <w:fldChar w:fldCharType="end"/>
        </w:r>
      </w:hyperlink>
    </w:p>
    <w:p w:rsidR="00356B19" w:rsidRDefault="00356B19" w14:paraId="5AF14B81" w14:textId="240CBE9C">
      <w:pPr>
        <w:pStyle w:val="TOC1"/>
        <w:tabs>
          <w:tab w:val="right" w:leader="dot" w:pos="9350"/>
        </w:tabs>
        <w:rPr>
          <w:noProof/>
          <w:sz w:val="24"/>
          <w:szCs w:val="24"/>
          <w:lang w:val="en-NZ" w:eastAsia="en-NZ"/>
        </w:rPr>
      </w:pPr>
      <w:hyperlink w:history="1" w:anchor="_Toc214449711">
        <w:r w:rsidRPr="001D46F0">
          <w:rPr>
            <w:rStyle w:val="Hyperlink"/>
            <w:noProof/>
          </w:rPr>
          <w:t>Guiding Principles</w:t>
        </w:r>
        <w:r>
          <w:rPr>
            <w:noProof/>
            <w:webHidden/>
          </w:rPr>
          <w:tab/>
        </w:r>
        <w:r>
          <w:rPr>
            <w:noProof/>
            <w:webHidden/>
          </w:rPr>
          <w:fldChar w:fldCharType="begin"/>
        </w:r>
        <w:r>
          <w:rPr>
            <w:noProof/>
            <w:webHidden/>
          </w:rPr>
          <w:instrText xml:space="preserve"> PAGEREF _Toc214449711 \h </w:instrText>
        </w:r>
        <w:r>
          <w:rPr>
            <w:noProof/>
            <w:webHidden/>
          </w:rPr>
        </w:r>
        <w:r>
          <w:rPr>
            <w:noProof/>
            <w:webHidden/>
          </w:rPr>
          <w:fldChar w:fldCharType="separate"/>
        </w:r>
        <w:r w:rsidR="00B6482C">
          <w:rPr>
            <w:noProof/>
            <w:webHidden/>
          </w:rPr>
          <w:t>2</w:t>
        </w:r>
        <w:r>
          <w:rPr>
            <w:noProof/>
            <w:webHidden/>
          </w:rPr>
          <w:fldChar w:fldCharType="end"/>
        </w:r>
      </w:hyperlink>
    </w:p>
    <w:p w:rsidR="00356B19" w:rsidRDefault="00356B19" w14:paraId="75EA7A36" w14:textId="4AA39305">
      <w:pPr>
        <w:pStyle w:val="TOC1"/>
        <w:tabs>
          <w:tab w:val="right" w:leader="dot" w:pos="9350"/>
        </w:tabs>
        <w:rPr>
          <w:noProof/>
          <w:sz w:val="24"/>
          <w:szCs w:val="24"/>
          <w:lang w:val="en-NZ" w:eastAsia="en-NZ"/>
        </w:rPr>
      </w:pPr>
      <w:hyperlink w:history="1" w:anchor="_Toc214449712">
        <w:r w:rsidRPr="001D46F0">
          <w:rPr>
            <w:rStyle w:val="Hyperlink"/>
            <w:noProof/>
          </w:rPr>
          <w:t>Governance and Relationship Overview</w:t>
        </w:r>
        <w:r>
          <w:rPr>
            <w:noProof/>
            <w:webHidden/>
          </w:rPr>
          <w:tab/>
        </w:r>
        <w:r>
          <w:rPr>
            <w:noProof/>
            <w:webHidden/>
          </w:rPr>
          <w:fldChar w:fldCharType="begin"/>
        </w:r>
        <w:r>
          <w:rPr>
            <w:noProof/>
            <w:webHidden/>
          </w:rPr>
          <w:instrText xml:space="preserve"> PAGEREF _Toc214449712 \h </w:instrText>
        </w:r>
        <w:r>
          <w:rPr>
            <w:noProof/>
            <w:webHidden/>
          </w:rPr>
        </w:r>
        <w:r>
          <w:rPr>
            <w:noProof/>
            <w:webHidden/>
          </w:rPr>
          <w:fldChar w:fldCharType="separate"/>
        </w:r>
        <w:r w:rsidR="00B6482C">
          <w:rPr>
            <w:noProof/>
            <w:webHidden/>
          </w:rPr>
          <w:t>3</w:t>
        </w:r>
        <w:r>
          <w:rPr>
            <w:noProof/>
            <w:webHidden/>
          </w:rPr>
          <w:fldChar w:fldCharType="end"/>
        </w:r>
      </w:hyperlink>
    </w:p>
    <w:p w:rsidR="00356B19" w:rsidRDefault="00356B19" w14:paraId="3F5F6E77" w14:textId="7E746231">
      <w:pPr>
        <w:pStyle w:val="TOC1"/>
        <w:tabs>
          <w:tab w:val="right" w:leader="dot" w:pos="9350"/>
        </w:tabs>
        <w:rPr>
          <w:noProof/>
          <w:sz w:val="24"/>
          <w:szCs w:val="24"/>
          <w:lang w:val="en-NZ" w:eastAsia="en-NZ"/>
        </w:rPr>
      </w:pPr>
      <w:hyperlink w:history="1" w:anchor="_Toc214449713">
        <w:r w:rsidRPr="001D46F0">
          <w:rPr>
            <w:rStyle w:val="Hyperlink"/>
            <w:noProof/>
          </w:rPr>
          <w:t>Roles and Responsibilities</w:t>
        </w:r>
        <w:r>
          <w:rPr>
            <w:noProof/>
            <w:webHidden/>
          </w:rPr>
          <w:tab/>
        </w:r>
        <w:r>
          <w:rPr>
            <w:noProof/>
            <w:webHidden/>
          </w:rPr>
          <w:fldChar w:fldCharType="begin"/>
        </w:r>
        <w:r>
          <w:rPr>
            <w:noProof/>
            <w:webHidden/>
          </w:rPr>
          <w:instrText xml:space="preserve"> PAGEREF _Toc214449713 \h </w:instrText>
        </w:r>
        <w:r>
          <w:rPr>
            <w:noProof/>
            <w:webHidden/>
          </w:rPr>
        </w:r>
        <w:r>
          <w:rPr>
            <w:noProof/>
            <w:webHidden/>
          </w:rPr>
          <w:fldChar w:fldCharType="separate"/>
        </w:r>
        <w:r w:rsidR="00B6482C">
          <w:rPr>
            <w:noProof/>
            <w:webHidden/>
          </w:rPr>
          <w:t>3</w:t>
        </w:r>
        <w:r>
          <w:rPr>
            <w:noProof/>
            <w:webHidden/>
          </w:rPr>
          <w:fldChar w:fldCharType="end"/>
        </w:r>
      </w:hyperlink>
    </w:p>
    <w:p w:rsidR="00356B19" w:rsidRDefault="00356B19" w14:paraId="4B1DA704" w14:textId="499817CB">
      <w:pPr>
        <w:pStyle w:val="TOC2"/>
        <w:tabs>
          <w:tab w:val="right" w:leader="dot" w:pos="9350"/>
        </w:tabs>
        <w:rPr>
          <w:noProof/>
          <w:sz w:val="24"/>
          <w:szCs w:val="24"/>
          <w:lang w:val="en-NZ" w:eastAsia="en-NZ"/>
        </w:rPr>
      </w:pPr>
      <w:hyperlink w:history="1" w:anchor="_Toc214449714">
        <w:r w:rsidRPr="001D46F0">
          <w:rPr>
            <w:rStyle w:val="Hyperlink"/>
            <w:noProof/>
          </w:rPr>
          <w:t>Property</w:t>
        </w:r>
        <w:r>
          <w:rPr>
            <w:noProof/>
            <w:webHidden/>
          </w:rPr>
          <w:tab/>
        </w:r>
        <w:r>
          <w:rPr>
            <w:noProof/>
            <w:webHidden/>
          </w:rPr>
          <w:fldChar w:fldCharType="begin"/>
        </w:r>
        <w:r>
          <w:rPr>
            <w:noProof/>
            <w:webHidden/>
          </w:rPr>
          <w:instrText xml:space="preserve"> PAGEREF _Toc214449714 \h </w:instrText>
        </w:r>
        <w:r>
          <w:rPr>
            <w:noProof/>
            <w:webHidden/>
          </w:rPr>
        </w:r>
        <w:r>
          <w:rPr>
            <w:noProof/>
            <w:webHidden/>
          </w:rPr>
          <w:fldChar w:fldCharType="separate"/>
        </w:r>
        <w:r w:rsidR="00B6482C">
          <w:rPr>
            <w:noProof/>
            <w:webHidden/>
          </w:rPr>
          <w:t>4</w:t>
        </w:r>
        <w:r>
          <w:rPr>
            <w:noProof/>
            <w:webHidden/>
          </w:rPr>
          <w:fldChar w:fldCharType="end"/>
        </w:r>
      </w:hyperlink>
    </w:p>
    <w:p w:rsidR="00356B19" w:rsidRDefault="00356B19" w14:paraId="4B9D31D9" w14:textId="206A4D12">
      <w:pPr>
        <w:pStyle w:val="TOC2"/>
        <w:tabs>
          <w:tab w:val="right" w:leader="dot" w:pos="9350"/>
        </w:tabs>
        <w:rPr>
          <w:noProof/>
          <w:sz w:val="24"/>
          <w:szCs w:val="24"/>
          <w:lang w:val="en-NZ" w:eastAsia="en-NZ"/>
        </w:rPr>
      </w:pPr>
      <w:hyperlink w:history="1" w:anchor="_Toc214449715">
        <w:r w:rsidRPr="001D46F0">
          <w:rPr>
            <w:rStyle w:val="Hyperlink"/>
            <w:noProof/>
          </w:rPr>
          <w:t>Special Character</w:t>
        </w:r>
        <w:r>
          <w:rPr>
            <w:noProof/>
            <w:webHidden/>
          </w:rPr>
          <w:tab/>
        </w:r>
        <w:r>
          <w:rPr>
            <w:noProof/>
            <w:webHidden/>
          </w:rPr>
          <w:fldChar w:fldCharType="begin"/>
        </w:r>
        <w:r>
          <w:rPr>
            <w:noProof/>
            <w:webHidden/>
          </w:rPr>
          <w:instrText xml:space="preserve"> PAGEREF _Toc214449715 \h </w:instrText>
        </w:r>
        <w:r>
          <w:rPr>
            <w:noProof/>
            <w:webHidden/>
          </w:rPr>
        </w:r>
        <w:r>
          <w:rPr>
            <w:noProof/>
            <w:webHidden/>
          </w:rPr>
          <w:fldChar w:fldCharType="separate"/>
        </w:r>
        <w:r w:rsidR="00B6482C">
          <w:rPr>
            <w:noProof/>
            <w:webHidden/>
          </w:rPr>
          <w:t>4</w:t>
        </w:r>
        <w:r>
          <w:rPr>
            <w:noProof/>
            <w:webHidden/>
          </w:rPr>
          <w:fldChar w:fldCharType="end"/>
        </w:r>
      </w:hyperlink>
    </w:p>
    <w:p w:rsidR="00356B19" w:rsidRDefault="00356B19" w14:paraId="688E3329" w14:textId="1E5D3CFC">
      <w:pPr>
        <w:pStyle w:val="TOC2"/>
        <w:tabs>
          <w:tab w:val="right" w:leader="dot" w:pos="9350"/>
        </w:tabs>
        <w:rPr>
          <w:noProof/>
          <w:sz w:val="24"/>
          <w:szCs w:val="24"/>
          <w:lang w:val="en-NZ" w:eastAsia="en-NZ"/>
        </w:rPr>
      </w:pPr>
      <w:hyperlink w:history="1" w:anchor="_Toc214449716">
        <w:r w:rsidRPr="001D46F0">
          <w:rPr>
            <w:rStyle w:val="Hyperlink"/>
            <w:noProof/>
          </w:rPr>
          <w:t>Staffing and Appointments</w:t>
        </w:r>
        <w:r>
          <w:rPr>
            <w:noProof/>
            <w:webHidden/>
          </w:rPr>
          <w:tab/>
        </w:r>
        <w:r>
          <w:rPr>
            <w:noProof/>
            <w:webHidden/>
          </w:rPr>
          <w:fldChar w:fldCharType="begin"/>
        </w:r>
        <w:r>
          <w:rPr>
            <w:noProof/>
            <w:webHidden/>
          </w:rPr>
          <w:instrText xml:space="preserve"> PAGEREF _Toc214449716 \h </w:instrText>
        </w:r>
        <w:r>
          <w:rPr>
            <w:noProof/>
            <w:webHidden/>
          </w:rPr>
        </w:r>
        <w:r>
          <w:rPr>
            <w:noProof/>
            <w:webHidden/>
          </w:rPr>
          <w:fldChar w:fldCharType="separate"/>
        </w:r>
        <w:r w:rsidR="00B6482C">
          <w:rPr>
            <w:noProof/>
            <w:webHidden/>
          </w:rPr>
          <w:t>5</w:t>
        </w:r>
        <w:r>
          <w:rPr>
            <w:noProof/>
            <w:webHidden/>
          </w:rPr>
          <w:fldChar w:fldCharType="end"/>
        </w:r>
      </w:hyperlink>
    </w:p>
    <w:p w:rsidR="00356B19" w:rsidRDefault="00356B19" w14:paraId="324DAA3A" w14:textId="6B8443BA">
      <w:pPr>
        <w:pStyle w:val="TOC2"/>
        <w:tabs>
          <w:tab w:val="right" w:leader="dot" w:pos="9350"/>
        </w:tabs>
        <w:rPr>
          <w:noProof/>
          <w:sz w:val="24"/>
          <w:szCs w:val="24"/>
          <w:lang w:val="en-NZ" w:eastAsia="en-NZ"/>
        </w:rPr>
      </w:pPr>
      <w:hyperlink w:history="1" w:anchor="_Toc214449717">
        <w:r w:rsidRPr="001D46F0">
          <w:rPr>
            <w:rStyle w:val="Hyperlink"/>
            <w:noProof/>
          </w:rPr>
          <w:t>Enrolment</w:t>
        </w:r>
        <w:r>
          <w:rPr>
            <w:noProof/>
            <w:webHidden/>
          </w:rPr>
          <w:tab/>
        </w:r>
        <w:r>
          <w:rPr>
            <w:noProof/>
            <w:webHidden/>
          </w:rPr>
          <w:fldChar w:fldCharType="begin"/>
        </w:r>
        <w:r>
          <w:rPr>
            <w:noProof/>
            <w:webHidden/>
          </w:rPr>
          <w:instrText xml:space="preserve"> PAGEREF _Toc214449717 \h </w:instrText>
        </w:r>
        <w:r>
          <w:rPr>
            <w:noProof/>
            <w:webHidden/>
          </w:rPr>
        </w:r>
        <w:r>
          <w:rPr>
            <w:noProof/>
            <w:webHidden/>
          </w:rPr>
          <w:fldChar w:fldCharType="separate"/>
        </w:r>
        <w:r w:rsidR="00B6482C">
          <w:rPr>
            <w:noProof/>
            <w:webHidden/>
          </w:rPr>
          <w:t>5</w:t>
        </w:r>
        <w:r>
          <w:rPr>
            <w:noProof/>
            <w:webHidden/>
          </w:rPr>
          <w:fldChar w:fldCharType="end"/>
        </w:r>
      </w:hyperlink>
    </w:p>
    <w:p w:rsidR="00356B19" w:rsidRDefault="00356B19" w14:paraId="68882FFC" w14:textId="15FD2C3C">
      <w:pPr>
        <w:pStyle w:val="TOC2"/>
        <w:tabs>
          <w:tab w:val="right" w:leader="dot" w:pos="9350"/>
        </w:tabs>
        <w:rPr>
          <w:noProof/>
          <w:sz w:val="24"/>
          <w:szCs w:val="24"/>
          <w:lang w:val="en-NZ" w:eastAsia="en-NZ"/>
        </w:rPr>
      </w:pPr>
      <w:hyperlink w:history="1" w:anchor="_Toc214449718">
        <w:r w:rsidRPr="001D46F0">
          <w:rPr>
            <w:rStyle w:val="Hyperlink"/>
            <w:noProof/>
          </w:rPr>
          <w:t>Financial Management</w:t>
        </w:r>
        <w:r>
          <w:rPr>
            <w:noProof/>
            <w:webHidden/>
          </w:rPr>
          <w:tab/>
        </w:r>
        <w:r>
          <w:rPr>
            <w:noProof/>
            <w:webHidden/>
          </w:rPr>
          <w:fldChar w:fldCharType="begin"/>
        </w:r>
        <w:r>
          <w:rPr>
            <w:noProof/>
            <w:webHidden/>
          </w:rPr>
          <w:instrText xml:space="preserve"> PAGEREF _Toc214449718 \h </w:instrText>
        </w:r>
        <w:r>
          <w:rPr>
            <w:noProof/>
            <w:webHidden/>
          </w:rPr>
        </w:r>
        <w:r>
          <w:rPr>
            <w:noProof/>
            <w:webHidden/>
          </w:rPr>
          <w:fldChar w:fldCharType="separate"/>
        </w:r>
        <w:r w:rsidR="00B6482C">
          <w:rPr>
            <w:noProof/>
            <w:webHidden/>
          </w:rPr>
          <w:t>5</w:t>
        </w:r>
        <w:r>
          <w:rPr>
            <w:noProof/>
            <w:webHidden/>
          </w:rPr>
          <w:fldChar w:fldCharType="end"/>
        </w:r>
      </w:hyperlink>
    </w:p>
    <w:p w:rsidR="00356B19" w:rsidRDefault="00356B19" w14:paraId="4BA5CA3C" w14:textId="2B0C4D68">
      <w:pPr>
        <w:pStyle w:val="TOC2"/>
        <w:tabs>
          <w:tab w:val="right" w:leader="dot" w:pos="9350"/>
        </w:tabs>
        <w:rPr>
          <w:noProof/>
          <w:sz w:val="24"/>
          <w:szCs w:val="24"/>
          <w:lang w:val="en-NZ" w:eastAsia="en-NZ"/>
        </w:rPr>
      </w:pPr>
      <w:hyperlink w:history="1" w:anchor="_Toc214449719">
        <w:r w:rsidRPr="001D46F0">
          <w:rPr>
            <w:rStyle w:val="Hyperlink"/>
            <w:noProof/>
          </w:rPr>
          <w:t>Health &amp; Safety / Wellbeing</w:t>
        </w:r>
        <w:r>
          <w:rPr>
            <w:noProof/>
            <w:webHidden/>
          </w:rPr>
          <w:tab/>
        </w:r>
        <w:r>
          <w:rPr>
            <w:noProof/>
            <w:webHidden/>
          </w:rPr>
          <w:fldChar w:fldCharType="begin"/>
        </w:r>
        <w:r>
          <w:rPr>
            <w:noProof/>
            <w:webHidden/>
          </w:rPr>
          <w:instrText xml:space="preserve"> PAGEREF _Toc214449719 \h </w:instrText>
        </w:r>
        <w:r>
          <w:rPr>
            <w:noProof/>
            <w:webHidden/>
          </w:rPr>
        </w:r>
        <w:r>
          <w:rPr>
            <w:noProof/>
            <w:webHidden/>
          </w:rPr>
          <w:fldChar w:fldCharType="separate"/>
        </w:r>
        <w:r w:rsidR="00B6482C">
          <w:rPr>
            <w:noProof/>
            <w:webHidden/>
          </w:rPr>
          <w:t>6</w:t>
        </w:r>
        <w:r>
          <w:rPr>
            <w:noProof/>
            <w:webHidden/>
          </w:rPr>
          <w:fldChar w:fldCharType="end"/>
        </w:r>
      </w:hyperlink>
    </w:p>
    <w:p w:rsidR="00356B19" w:rsidRDefault="00356B19" w14:paraId="324C4B05" w14:textId="7DF675A7">
      <w:pPr>
        <w:pStyle w:val="TOC1"/>
        <w:tabs>
          <w:tab w:val="right" w:leader="dot" w:pos="9350"/>
        </w:tabs>
        <w:rPr>
          <w:noProof/>
          <w:sz w:val="24"/>
          <w:szCs w:val="24"/>
          <w:lang w:val="en-NZ" w:eastAsia="en-NZ"/>
        </w:rPr>
      </w:pPr>
      <w:hyperlink w:history="1" w:anchor="_Toc214449720">
        <w:r w:rsidRPr="001D46F0">
          <w:rPr>
            <w:rStyle w:val="Hyperlink"/>
            <w:noProof/>
          </w:rPr>
          <w:t>Communication Protocols</w:t>
        </w:r>
        <w:r>
          <w:rPr>
            <w:noProof/>
            <w:webHidden/>
          </w:rPr>
          <w:tab/>
        </w:r>
        <w:r>
          <w:rPr>
            <w:noProof/>
            <w:webHidden/>
          </w:rPr>
          <w:fldChar w:fldCharType="begin"/>
        </w:r>
        <w:r>
          <w:rPr>
            <w:noProof/>
            <w:webHidden/>
          </w:rPr>
          <w:instrText xml:space="preserve"> PAGEREF _Toc214449720 \h </w:instrText>
        </w:r>
        <w:r>
          <w:rPr>
            <w:noProof/>
            <w:webHidden/>
          </w:rPr>
        </w:r>
        <w:r>
          <w:rPr>
            <w:noProof/>
            <w:webHidden/>
          </w:rPr>
          <w:fldChar w:fldCharType="separate"/>
        </w:r>
        <w:r w:rsidR="00B6482C">
          <w:rPr>
            <w:noProof/>
            <w:webHidden/>
          </w:rPr>
          <w:t>6</w:t>
        </w:r>
        <w:r>
          <w:rPr>
            <w:noProof/>
            <w:webHidden/>
          </w:rPr>
          <w:fldChar w:fldCharType="end"/>
        </w:r>
      </w:hyperlink>
    </w:p>
    <w:p w:rsidR="00356B19" w:rsidRDefault="00356B19" w14:paraId="33E6D5E2" w14:textId="3F4D0FCC">
      <w:pPr>
        <w:pStyle w:val="TOC1"/>
        <w:tabs>
          <w:tab w:val="right" w:leader="dot" w:pos="9350"/>
        </w:tabs>
        <w:rPr>
          <w:noProof/>
          <w:sz w:val="24"/>
          <w:szCs w:val="24"/>
          <w:lang w:val="en-NZ" w:eastAsia="en-NZ"/>
        </w:rPr>
      </w:pPr>
      <w:hyperlink w:history="1" w:anchor="_Toc214449721">
        <w:r w:rsidRPr="001D46F0">
          <w:rPr>
            <w:rStyle w:val="Hyperlink"/>
            <w:noProof/>
          </w:rPr>
          <w:t>Dispute Resolution</w:t>
        </w:r>
        <w:r>
          <w:rPr>
            <w:noProof/>
            <w:webHidden/>
          </w:rPr>
          <w:tab/>
        </w:r>
        <w:r>
          <w:rPr>
            <w:noProof/>
            <w:webHidden/>
          </w:rPr>
          <w:fldChar w:fldCharType="begin"/>
        </w:r>
        <w:r>
          <w:rPr>
            <w:noProof/>
            <w:webHidden/>
          </w:rPr>
          <w:instrText xml:space="preserve"> PAGEREF _Toc214449721 \h </w:instrText>
        </w:r>
        <w:r>
          <w:rPr>
            <w:noProof/>
            <w:webHidden/>
          </w:rPr>
        </w:r>
        <w:r>
          <w:rPr>
            <w:noProof/>
            <w:webHidden/>
          </w:rPr>
          <w:fldChar w:fldCharType="separate"/>
        </w:r>
        <w:r w:rsidR="00B6482C">
          <w:rPr>
            <w:noProof/>
            <w:webHidden/>
          </w:rPr>
          <w:t>6</w:t>
        </w:r>
        <w:r>
          <w:rPr>
            <w:noProof/>
            <w:webHidden/>
          </w:rPr>
          <w:fldChar w:fldCharType="end"/>
        </w:r>
      </w:hyperlink>
    </w:p>
    <w:p w:rsidR="00356B19" w:rsidRDefault="00356B19" w14:paraId="39A81B7D" w14:textId="31D1FFF4">
      <w:pPr>
        <w:pStyle w:val="TOC1"/>
        <w:tabs>
          <w:tab w:val="right" w:leader="dot" w:pos="9350"/>
        </w:tabs>
        <w:rPr>
          <w:noProof/>
          <w:sz w:val="24"/>
          <w:szCs w:val="24"/>
          <w:lang w:val="en-NZ" w:eastAsia="en-NZ"/>
        </w:rPr>
      </w:pPr>
      <w:hyperlink w:history="1" w:anchor="_Toc214449722">
        <w:r w:rsidRPr="001D46F0">
          <w:rPr>
            <w:rStyle w:val="Hyperlink"/>
            <w:noProof/>
          </w:rPr>
          <w:t>Term and Review</w:t>
        </w:r>
        <w:r>
          <w:rPr>
            <w:noProof/>
            <w:webHidden/>
          </w:rPr>
          <w:tab/>
        </w:r>
        <w:r>
          <w:rPr>
            <w:noProof/>
            <w:webHidden/>
          </w:rPr>
          <w:fldChar w:fldCharType="begin"/>
        </w:r>
        <w:r>
          <w:rPr>
            <w:noProof/>
            <w:webHidden/>
          </w:rPr>
          <w:instrText xml:space="preserve"> PAGEREF _Toc214449722 \h </w:instrText>
        </w:r>
        <w:r>
          <w:rPr>
            <w:noProof/>
            <w:webHidden/>
          </w:rPr>
        </w:r>
        <w:r>
          <w:rPr>
            <w:noProof/>
            <w:webHidden/>
          </w:rPr>
          <w:fldChar w:fldCharType="separate"/>
        </w:r>
        <w:r w:rsidR="00B6482C">
          <w:rPr>
            <w:noProof/>
            <w:webHidden/>
          </w:rPr>
          <w:t>6</w:t>
        </w:r>
        <w:r>
          <w:rPr>
            <w:noProof/>
            <w:webHidden/>
          </w:rPr>
          <w:fldChar w:fldCharType="end"/>
        </w:r>
      </w:hyperlink>
    </w:p>
    <w:p w:rsidR="00356B19" w:rsidRDefault="00356B19" w14:paraId="013362D4" w14:textId="396EBF4E">
      <w:pPr>
        <w:pStyle w:val="TOC1"/>
        <w:tabs>
          <w:tab w:val="right" w:leader="dot" w:pos="9350"/>
        </w:tabs>
        <w:rPr>
          <w:noProof/>
          <w:sz w:val="24"/>
          <w:szCs w:val="24"/>
          <w:lang w:val="en-NZ" w:eastAsia="en-NZ"/>
        </w:rPr>
      </w:pPr>
      <w:hyperlink w:history="1" w:anchor="_Toc214449723">
        <w:r w:rsidRPr="001D46F0">
          <w:rPr>
            <w:rStyle w:val="Hyperlink"/>
            <w:noProof/>
          </w:rPr>
          <w:t>Execution</w:t>
        </w:r>
        <w:r>
          <w:rPr>
            <w:noProof/>
            <w:webHidden/>
          </w:rPr>
          <w:tab/>
        </w:r>
        <w:r>
          <w:rPr>
            <w:noProof/>
            <w:webHidden/>
          </w:rPr>
          <w:fldChar w:fldCharType="begin"/>
        </w:r>
        <w:r>
          <w:rPr>
            <w:noProof/>
            <w:webHidden/>
          </w:rPr>
          <w:instrText xml:space="preserve"> PAGEREF _Toc214449723 \h </w:instrText>
        </w:r>
        <w:r>
          <w:rPr>
            <w:noProof/>
            <w:webHidden/>
          </w:rPr>
        </w:r>
        <w:r>
          <w:rPr>
            <w:noProof/>
            <w:webHidden/>
          </w:rPr>
          <w:fldChar w:fldCharType="separate"/>
        </w:r>
        <w:r w:rsidR="00B6482C">
          <w:rPr>
            <w:noProof/>
            <w:webHidden/>
          </w:rPr>
          <w:t>6</w:t>
        </w:r>
        <w:r>
          <w:rPr>
            <w:noProof/>
            <w:webHidden/>
          </w:rPr>
          <w:fldChar w:fldCharType="end"/>
        </w:r>
      </w:hyperlink>
    </w:p>
    <w:p w:rsidR="00356B19" w:rsidRDefault="00356B19" w14:paraId="2B631F61" w14:textId="73092DAC">
      <w:pPr>
        <w:pStyle w:val="TOC1"/>
        <w:tabs>
          <w:tab w:val="right" w:leader="dot" w:pos="9350"/>
        </w:tabs>
        <w:rPr>
          <w:noProof/>
          <w:sz w:val="24"/>
          <w:szCs w:val="24"/>
          <w:lang w:val="en-NZ" w:eastAsia="en-NZ"/>
        </w:rPr>
      </w:pPr>
      <w:hyperlink w:history="1" w:anchor="_Toc214449724">
        <w:r w:rsidRPr="001D46F0">
          <w:rPr>
            <w:rStyle w:val="Hyperlink"/>
            <w:noProof/>
          </w:rPr>
          <w:t>Appendices Overview</w:t>
        </w:r>
        <w:r>
          <w:rPr>
            <w:noProof/>
            <w:webHidden/>
          </w:rPr>
          <w:tab/>
        </w:r>
        <w:r>
          <w:rPr>
            <w:noProof/>
            <w:webHidden/>
          </w:rPr>
          <w:fldChar w:fldCharType="begin"/>
        </w:r>
        <w:r>
          <w:rPr>
            <w:noProof/>
            <w:webHidden/>
          </w:rPr>
          <w:instrText xml:space="preserve"> PAGEREF _Toc214449724 \h </w:instrText>
        </w:r>
        <w:r>
          <w:rPr>
            <w:noProof/>
            <w:webHidden/>
          </w:rPr>
        </w:r>
        <w:r>
          <w:rPr>
            <w:noProof/>
            <w:webHidden/>
          </w:rPr>
          <w:fldChar w:fldCharType="separate"/>
        </w:r>
        <w:r w:rsidR="00B6482C">
          <w:rPr>
            <w:noProof/>
            <w:webHidden/>
          </w:rPr>
          <w:t>8</w:t>
        </w:r>
        <w:r>
          <w:rPr>
            <w:noProof/>
            <w:webHidden/>
          </w:rPr>
          <w:fldChar w:fldCharType="end"/>
        </w:r>
      </w:hyperlink>
    </w:p>
    <w:p w:rsidR="00356B19" w:rsidRDefault="00356B19" w14:paraId="14B7A735" w14:textId="6439BE41">
      <w:pPr>
        <w:pStyle w:val="TOC2"/>
        <w:tabs>
          <w:tab w:val="right" w:leader="dot" w:pos="9350"/>
        </w:tabs>
        <w:rPr>
          <w:noProof/>
          <w:sz w:val="24"/>
          <w:szCs w:val="24"/>
          <w:lang w:val="en-NZ" w:eastAsia="en-NZ"/>
        </w:rPr>
      </w:pPr>
      <w:hyperlink w:history="1" w:anchor="_Toc214449725">
        <w:r w:rsidRPr="001D46F0">
          <w:rPr>
            <w:rStyle w:val="Hyperlink"/>
            <w:noProof/>
          </w:rPr>
          <w:t>Appendix A – Common Pressure Points and Solutions</w:t>
        </w:r>
        <w:r>
          <w:rPr>
            <w:noProof/>
            <w:webHidden/>
          </w:rPr>
          <w:tab/>
        </w:r>
        <w:r>
          <w:rPr>
            <w:noProof/>
            <w:webHidden/>
          </w:rPr>
          <w:fldChar w:fldCharType="begin"/>
        </w:r>
        <w:r>
          <w:rPr>
            <w:noProof/>
            <w:webHidden/>
          </w:rPr>
          <w:instrText xml:space="preserve"> PAGEREF _Toc214449725 \h </w:instrText>
        </w:r>
        <w:r>
          <w:rPr>
            <w:noProof/>
            <w:webHidden/>
          </w:rPr>
        </w:r>
        <w:r>
          <w:rPr>
            <w:noProof/>
            <w:webHidden/>
          </w:rPr>
          <w:fldChar w:fldCharType="separate"/>
        </w:r>
        <w:r w:rsidR="00B6482C">
          <w:rPr>
            <w:noProof/>
            <w:webHidden/>
          </w:rPr>
          <w:t>9</w:t>
        </w:r>
        <w:r>
          <w:rPr>
            <w:noProof/>
            <w:webHidden/>
          </w:rPr>
          <w:fldChar w:fldCharType="end"/>
        </w:r>
      </w:hyperlink>
    </w:p>
    <w:p w:rsidR="00356B19" w:rsidRDefault="00356B19" w14:paraId="6496487F" w14:textId="620894EC">
      <w:pPr>
        <w:pStyle w:val="TOC2"/>
        <w:tabs>
          <w:tab w:val="right" w:leader="dot" w:pos="9350"/>
        </w:tabs>
        <w:rPr>
          <w:noProof/>
          <w:sz w:val="24"/>
          <w:szCs w:val="24"/>
          <w:lang w:val="en-NZ" w:eastAsia="en-NZ"/>
        </w:rPr>
      </w:pPr>
      <w:hyperlink w:history="1" w:anchor="_Toc214449726">
        <w:r w:rsidRPr="001D46F0">
          <w:rPr>
            <w:rStyle w:val="Hyperlink"/>
            <w:noProof/>
            <w:lang w:eastAsia="en-US"/>
          </w:rPr>
          <w:t>Appendix B – Financial and Property Processes</w:t>
        </w:r>
        <w:r>
          <w:rPr>
            <w:noProof/>
            <w:webHidden/>
          </w:rPr>
          <w:tab/>
        </w:r>
        <w:r>
          <w:rPr>
            <w:noProof/>
            <w:webHidden/>
          </w:rPr>
          <w:fldChar w:fldCharType="begin"/>
        </w:r>
        <w:r>
          <w:rPr>
            <w:noProof/>
            <w:webHidden/>
          </w:rPr>
          <w:instrText xml:space="preserve"> PAGEREF _Toc214449726 \h </w:instrText>
        </w:r>
        <w:r>
          <w:rPr>
            <w:noProof/>
            <w:webHidden/>
          </w:rPr>
        </w:r>
        <w:r>
          <w:rPr>
            <w:noProof/>
            <w:webHidden/>
          </w:rPr>
          <w:fldChar w:fldCharType="separate"/>
        </w:r>
        <w:r w:rsidR="00B6482C">
          <w:rPr>
            <w:noProof/>
            <w:webHidden/>
          </w:rPr>
          <w:t>13</w:t>
        </w:r>
        <w:r>
          <w:rPr>
            <w:noProof/>
            <w:webHidden/>
          </w:rPr>
          <w:fldChar w:fldCharType="end"/>
        </w:r>
      </w:hyperlink>
    </w:p>
    <w:p w:rsidR="00356B19" w:rsidRDefault="00356B19" w14:paraId="74682715" w14:textId="60520B3C">
      <w:pPr>
        <w:pStyle w:val="TOC2"/>
        <w:tabs>
          <w:tab w:val="right" w:leader="dot" w:pos="9350"/>
        </w:tabs>
        <w:rPr>
          <w:noProof/>
          <w:sz w:val="24"/>
          <w:szCs w:val="24"/>
          <w:lang w:val="en-NZ" w:eastAsia="en-NZ"/>
        </w:rPr>
      </w:pPr>
      <w:hyperlink w:history="1" w:anchor="_Toc214449727">
        <w:r w:rsidRPr="001D46F0">
          <w:rPr>
            <w:rStyle w:val="Hyperlink"/>
            <w:noProof/>
            <w:lang w:eastAsia="en-US"/>
          </w:rPr>
          <w:t>Appendix C – Special Character Guidelines</w:t>
        </w:r>
        <w:r>
          <w:rPr>
            <w:noProof/>
            <w:webHidden/>
          </w:rPr>
          <w:tab/>
        </w:r>
        <w:r>
          <w:rPr>
            <w:noProof/>
            <w:webHidden/>
          </w:rPr>
          <w:fldChar w:fldCharType="begin"/>
        </w:r>
        <w:r>
          <w:rPr>
            <w:noProof/>
            <w:webHidden/>
          </w:rPr>
          <w:instrText xml:space="preserve"> PAGEREF _Toc214449727 \h </w:instrText>
        </w:r>
        <w:r>
          <w:rPr>
            <w:noProof/>
            <w:webHidden/>
          </w:rPr>
        </w:r>
        <w:r>
          <w:rPr>
            <w:noProof/>
            <w:webHidden/>
          </w:rPr>
          <w:fldChar w:fldCharType="separate"/>
        </w:r>
        <w:r w:rsidR="00B6482C">
          <w:rPr>
            <w:noProof/>
            <w:webHidden/>
          </w:rPr>
          <w:t>14</w:t>
        </w:r>
        <w:r>
          <w:rPr>
            <w:noProof/>
            <w:webHidden/>
          </w:rPr>
          <w:fldChar w:fldCharType="end"/>
        </w:r>
      </w:hyperlink>
    </w:p>
    <w:p w:rsidR="00356B19" w:rsidRDefault="00356B19" w14:paraId="5AB04B36" w14:textId="17BBBA90">
      <w:pPr>
        <w:pStyle w:val="TOC2"/>
        <w:tabs>
          <w:tab w:val="right" w:leader="dot" w:pos="9350"/>
        </w:tabs>
        <w:rPr>
          <w:noProof/>
          <w:sz w:val="24"/>
          <w:szCs w:val="24"/>
          <w:lang w:val="en-NZ" w:eastAsia="en-NZ"/>
        </w:rPr>
      </w:pPr>
      <w:hyperlink w:history="1" w:anchor="_Toc214449728">
        <w:r w:rsidRPr="001D46F0">
          <w:rPr>
            <w:rStyle w:val="Hyperlink"/>
            <w:noProof/>
            <w:lang w:eastAsia="en-US"/>
          </w:rPr>
          <w:t>Appendix D – Communication and Consultation Checklist</w:t>
        </w:r>
        <w:r>
          <w:rPr>
            <w:noProof/>
            <w:webHidden/>
          </w:rPr>
          <w:tab/>
        </w:r>
        <w:r>
          <w:rPr>
            <w:noProof/>
            <w:webHidden/>
          </w:rPr>
          <w:fldChar w:fldCharType="begin"/>
        </w:r>
        <w:r>
          <w:rPr>
            <w:noProof/>
            <w:webHidden/>
          </w:rPr>
          <w:instrText xml:space="preserve"> PAGEREF _Toc214449728 \h </w:instrText>
        </w:r>
        <w:r>
          <w:rPr>
            <w:noProof/>
            <w:webHidden/>
          </w:rPr>
        </w:r>
        <w:r>
          <w:rPr>
            <w:noProof/>
            <w:webHidden/>
          </w:rPr>
          <w:fldChar w:fldCharType="separate"/>
        </w:r>
        <w:r w:rsidR="00B6482C">
          <w:rPr>
            <w:noProof/>
            <w:webHidden/>
          </w:rPr>
          <w:t>16</w:t>
        </w:r>
        <w:r>
          <w:rPr>
            <w:noProof/>
            <w:webHidden/>
          </w:rPr>
          <w:fldChar w:fldCharType="end"/>
        </w:r>
      </w:hyperlink>
    </w:p>
    <w:p w:rsidR="00356B19" w:rsidRDefault="00356B19" w14:paraId="384236C0" w14:textId="0E306870">
      <w:pPr>
        <w:pStyle w:val="TOC2"/>
        <w:tabs>
          <w:tab w:val="right" w:leader="dot" w:pos="9350"/>
        </w:tabs>
        <w:rPr>
          <w:noProof/>
          <w:sz w:val="24"/>
          <w:szCs w:val="24"/>
          <w:lang w:val="en-NZ" w:eastAsia="en-NZ"/>
        </w:rPr>
      </w:pPr>
      <w:hyperlink w:history="1" w:anchor="_Toc214449729">
        <w:r w:rsidRPr="001D46F0">
          <w:rPr>
            <w:rStyle w:val="Hyperlink"/>
            <w:noProof/>
            <w:lang w:eastAsia="en-US"/>
          </w:rPr>
          <w:t>Appendix E – Governance and Legislative References</w:t>
        </w:r>
        <w:r>
          <w:rPr>
            <w:noProof/>
            <w:webHidden/>
          </w:rPr>
          <w:tab/>
        </w:r>
        <w:r>
          <w:rPr>
            <w:noProof/>
            <w:webHidden/>
          </w:rPr>
          <w:fldChar w:fldCharType="begin"/>
        </w:r>
        <w:r>
          <w:rPr>
            <w:noProof/>
            <w:webHidden/>
          </w:rPr>
          <w:instrText xml:space="preserve"> PAGEREF _Toc214449729 \h </w:instrText>
        </w:r>
        <w:r>
          <w:rPr>
            <w:noProof/>
            <w:webHidden/>
          </w:rPr>
        </w:r>
        <w:r>
          <w:rPr>
            <w:noProof/>
            <w:webHidden/>
          </w:rPr>
          <w:fldChar w:fldCharType="separate"/>
        </w:r>
        <w:r w:rsidR="00B6482C">
          <w:rPr>
            <w:noProof/>
            <w:webHidden/>
          </w:rPr>
          <w:t>16</w:t>
        </w:r>
        <w:r>
          <w:rPr>
            <w:noProof/>
            <w:webHidden/>
          </w:rPr>
          <w:fldChar w:fldCharType="end"/>
        </w:r>
      </w:hyperlink>
    </w:p>
    <w:p w:rsidR="00356B19" w:rsidRDefault="00356B19" w14:paraId="5F3B3F50" w14:textId="4DDE1239">
      <w:pPr>
        <w:pStyle w:val="TOC2"/>
        <w:tabs>
          <w:tab w:val="right" w:leader="dot" w:pos="9350"/>
        </w:tabs>
        <w:rPr>
          <w:noProof/>
          <w:sz w:val="24"/>
          <w:szCs w:val="24"/>
          <w:lang w:val="en-NZ" w:eastAsia="en-NZ"/>
        </w:rPr>
      </w:pPr>
      <w:hyperlink w:history="1" w:anchor="_Toc214449730">
        <w:r w:rsidRPr="001D46F0">
          <w:rPr>
            <w:rStyle w:val="Hyperlink"/>
            <w:noProof/>
            <w:lang w:eastAsia="en-US"/>
          </w:rPr>
          <w:t>Appendix F – Annual Governance Calendar</w:t>
        </w:r>
        <w:r>
          <w:rPr>
            <w:noProof/>
            <w:webHidden/>
          </w:rPr>
          <w:tab/>
        </w:r>
        <w:r>
          <w:rPr>
            <w:noProof/>
            <w:webHidden/>
          </w:rPr>
          <w:fldChar w:fldCharType="begin"/>
        </w:r>
        <w:r>
          <w:rPr>
            <w:noProof/>
            <w:webHidden/>
          </w:rPr>
          <w:instrText xml:space="preserve"> PAGEREF _Toc214449730 \h </w:instrText>
        </w:r>
        <w:r>
          <w:rPr>
            <w:noProof/>
            <w:webHidden/>
          </w:rPr>
        </w:r>
        <w:r>
          <w:rPr>
            <w:noProof/>
            <w:webHidden/>
          </w:rPr>
          <w:fldChar w:fldCharType="separate"/>
        </w:r>
        <w:r w:rsidR="00B6482C">
          <w:rPr>
            <w:noProof/>
            <w:webHidden/>
          </w:rPr>
          <w:t>16</w:t>
        </w:r>
        <w:r>
          <w:rPr>
            <w:noProof/>
            <w:webHidden/>
          </w:rPr>
          <w:fldChar w:fldCharType="end"/>
        </w:r>
      </w:hyperlink>
    </w:p>
    <w:p w:rsidR="00356B19" w:rsidRDefault="00356B19" w14:paraId="7EF8B88D" w14:textId="23C13E65">
      <w:pPr>
        <w:pStyle w:val="TOC2"/>
        <w:tabs>
          <w:tab w:val="right" w:leader="dot" w:pos="9350"/>
        </w:tabs>
        <w:rPr>
          <w:noProof/>
          <w:sz w:val="24"/>
          <w:szCs w:val="24"/>
          <w:lang w:val="en-NZ" w:eastAsia="en-NZ"/>
        </w:rPr>
      </w:pPr>
      <w:hyperlink w:history="1" w:anchor="_Toc214449731">
        <w:r w:rsidRPr="001D46F0">
          <w:rPr>
            <w:rStyle w:val="Hyperlink"/>
            <w:noProof/>
            <w:lang w:eastAsia="en-US"/>
          </w:rPr>
          <w:t>Appendix G – Risk Register</w:t>
        </w:r>
        <w:r>
          <w:rPr>
            <w:noProof/>
            <w:webHidden/>
          </w:rPr>
          <w:tab/>
        </w:r>
        <w:r>
          <w:rPr>
            <w:noProof/>
            <w:webHidden/>
          </w:rPr>
          <w:fldChar w:fldCharType="begin"/>
        </w:r>
        <w:r>
          <w:rPr>
            <w:noProof/>
            <w:webHidden/>
          </w:rPr>
          <w:instrText xml:space="preserve"> PAGEREF _Toc214449731 \h </w:instrText>
        </w:r>
        <w:r>
          <w:rPr>
            <w:noProof/>
            <w:webHidden/>
          </w:rPr>
        </w:r>
        <w:r>
          <w:rPr>
            <w:noProof/>
            <w:webHidden/>
          </w:rPr>
          <w:fldChar w:fldCharType="separate"/>
        </w:r>
        <w:r w:rsidR="00B6482C">
          <w:rPr>
            <w:noProof/>
            <w:webHidden/>
          </w:rPr>
          <w:t>17</w:t>
        </w:r>
        <w:r>
          <w:rPr>
            <w:noProof/>
            <w:webHidden/>
          </w:rPr>
          <w:fldChar w:fldCharType="end"/>
        </w:r>
      </w:hyperlink>
    </w:p>
    <w:p w:rsidR="00356B19" w:rsidRDefault="00356B19" w14:paraId="26CCE6EB" w14:textId="189E4AD3">
      <w:pPr>
        <w:pStyle w:val="TOC2"/>
        <w:tabs>
          <w:tab w:val="right" w:leader="dot" w:pos="9350"/>
        </w:tabs>
        <w:rPr>
          <w:noProof/>
          <w:sz w:val="24"/>
          <w:szCs w:val="24"/>
          <w:lang w:val="en-NZ" w:eastAsia="en-NZ"/>
        </w:rPr>
      </w:pPr>
      <w:hyperlink w:history="1" w:anchor="_Toc214449732">
        <w:r w:rsidRPr="001D46F0">
          <w:rPr>
            <w:rStyle w:val="Hyperlink"/>
            <w:noProof/>
            <w:lang w:eastAsia="en-US"/>
          </w:rPr>
          <w:t>Appendix H – Shared Sites and Shared Staff Protocols</w:t>
        </w:r>
        <w:r>
          <w:rPr>
            <w:noProof/>
            <w:webHidden/>
          </w:rPr>
          <w:tab/>
        </w:r>
        <w:r>
          <w:rPr>
            <w:noProof/>
            <w:webHidden/>
          </w:rPr>
          <w:fldChar w:fldCharType="begin"/>
        </w:r>
        <w:r>
          <w:rPr>
            <w:noProof/>
            <w:webHidden/>
          </w:rPr>
          <w:instrText xml:space="preserve"> PAGEREF _Toc214449732 \h </w:instrText>
        </w:r>
        <w:r>
          <w:rPr>
            <w:noProof/>
            <w:webHidden/>
          </w:rPr>
        </w:r>
        <w:r>
          <w:rPr>
            <w:noProof/>
            <w:webHidden/>
          </w:rPr>
          <w:fldChar w:fldCharType="separate"/>
        </w:r>
        <w:r w:rsidR="00B6482C">
          <w:rPr>
            <w:noProof/>
            <w:webHidden/>
          </w:rPr>
          <w:t>17</w:t>
        </w:r>
        <w:r>
          <w:rPr>
            <w:noProof/>
            <w:webHidden/>
          </w:rPr>
          <w:fldChar w:fldCharType="end"/>
        </w:r>
      </w:hyperlink>
    </w:p>
    <w:p w:rsidR="007B58DF" w:rsidP="007D234A" w:rsidRDefault="00D16662" w14:paraId="3F9A6F37" w14:textId="1DC39C37">
      <w:r>
        <w:fldChar w:fldCharType="end"/>
      </w:r>
      <w:r>
        <w:br w:type="page"/>
      </w:r>
    </w:p>
    <w:p w:rsidRPr="007D234A" w:rsidR="007B58DF" w:rsidP="00D95C79" w:rsidRDefault="00870673" w14:paraId="22A9583D" w14:textId="77777777">
      <w:pPr>
        <w:pStyle w:val="Heading1"/>
      </w:pPr>
      <w:bookmarkStart w:name="_Toc214449708" w:id="0"/>
      <w:r w:rsidRPr="007D234A">
        <w:t>Background</w:t>
      </w:r>
      <w:bookmarkEnd w:id="0"/>
    </w:p>
    <w:p w:rsidR="007F2987" w:rsidP="007D234A" w:rsidRDefault="00870673" w14:paraId="58D589A3" w14:textId="6145C168">
      <w:r w:rsidRPr="007D234A">
        <w:t xml:space="preserve">This Memorandum of Understanding (MOU) outlines the partnership between the Proprietor Trust Board </w:t>
      </w:r>
      <w:r w:rsidR="002B118E">
        <w:t xml:space="preserve">(the Proprietor) </w:t>
      </w:r>
      <w:r w:rsidRPr="007D234A">
        <w:t>and the School Board</w:t>
      </w:r>
      <w:r w:rsidR="00E43E02">
        <w:t xml:space="preserve"> (the Board)</w:t>
      </w:r>
      <w:r w:rsidRPr="007D234A">
        <w:t xml:space="preserve">. It recognises that both parties operate under the Education and Training Act 2020, </w:t>
      </w:r>
      <w:r w:rsidR="00ED4700">
        <w:t>Schedule 6</w:t>
      </w:r>
      <w:r w:rsidRPr="007D234A">
        <w:t xml:space="preserve">, and the Integration Agreement between the Proprietor and the Crown. </w:t>
      </w:r>
    </w:p>
    <w:p w:rsidR="007F2987" w:rsidP="007D234A" w:rsidRDefault="00870673" w14:paraId="1EF6AF7B" w14:textId="77777777">
      <w:r w:rsidRPr="007D234A">
        <w:t xml:space="preserve">The Proprietor determines and safeguards the special character of the school and owns or leases the land and buildings integrated into the state system. </w:t>
      </w:r>
    </w:p>
    <w:p w:rsidR="00116717" w:rsidP="007D234A" w:rsidRDefault="00870673" w14:paraId="19246A34" w14:textId="1EDE3A07">
      <w:r w:rsidRPr="007D234A">
        <w:t>The Board governs the Crown</w:t>
      </w:r>
      <w:r w:rsidR="00E43E02">
        <w:t xml:space="preserve"> </w:t>
      </w:r>
      <w:r w:rsidRPr="007D234A">
        <w:t xml:space="preserve">entity that delivers the New Zealand Curriculum in a manner consistent with the school’s special character. </w:t>
      </w:r>
    </w:p>
    <w:p w:rsidRPr="007D234A" w:rsidR="007B58DF" w:rsidP="007D234A" w:rsidRDefault="00870673" w14:paraId="55AAEC08" w14:textId="3310734F">
      <w:r w:rsidRPr="007D234A">
        <w:t>Both parties seek to clarify their respective responsibilities and document areas of shared interest — property, employment, enrolment, finance, and special character.</w:t>
      </w:r>
    </w:p>
    <w:p w:rsidR="007B58DF" w:rsidP="00D95C79" w:rsidRDefault="00870673" w14:paraId="192DE0E0" w14:textId="77777777">
      <w:pPr>
        <w:pStyle w:val="Heading1"/>
      </w:pPr>
      <w:bookmarkStart w:name="_Toc214449709" w:id="1"/>
      <w:r>
        <w:t>Purpose and Scope</w:t>
      </w:r>
      <w:bookmarkEnd w:id="1"/>
    </w:p>
    <w:p w:rsidR="007B58DF" w:rsidP="007D234A" w:rsidRDefault="00870673" w14:paraId="1018AF6B" w14:textId="77777777">
      <w:r>
        <w:t xml:space="preserve">This MOU sets out mutual </w:t>
      </w:r>
      <w:proofErr w:type="gramStart"/>
      <w:r>
        <w:t>understandings</w:t>
      </w:r>
      <w:proofErr w:type="gramEnd"/>
      <w:r>
        <w:t>, responsibilities, and cooperative arrangements between the Proprietor and the Board. It records agreed processes for collaboration and clarification of respective roles and responsibilities. This document is not legally binding but provides a framework for partnership and accountability.</w:t>
      </w:r>
    </w:p>
    <w:p w:rsidR="007B58DF" w:rsidP="00D95C79" w:rsidRDefault="00870673" w14:paraId="1E0E5EA2" w14:textId="77777777">
      <w:pPr>
        <w:pStyle w:val="Heading1"/>
      </w:pPr>
      <w:bookmarkStart w:name="_Toc214449710" w:id="2"/>
      <w:r>
        <w:t>Interpretation</w:t>
      </w:r>
      <w:bookmarkEnd w:id="2"/>
    </w:p>
    <w:p w:rsidR="007B58DF" w:rsidP="007D234A" w:rsidRDefault="00870673" w14:paraId="285140A0" w14:textId="77777777">
      <w:r>
        <w:t>Words and expressions used in this MOU have the meanings defined in the Education and Training Act 2020. ‘Parties’ means the Proprietor and the Board. Consultation may occur between the Proprietor’s CEO or Presiding Member and the School’s Principal or Presiding Member. Both parties commit to regular, transparent, and values-based communication grounded in mutual respect and the school’s special character.</w:t>
      </w:r>
    </w:p>
    <w:p w:rsidR="007B58DF" w:rsidP="00D95C79" w:rsidRDefault="00870673" w14:paraId="5028F073" w14:textId="77777777">
      <w:pPr>
        <w:pStyle w:val="Heading1"/>
      </w:pPr>
      <w:bookmarkStart w:name="_Toc214449711" w:id="3"/>
      <w:r>
        <w:t>Guiding Principles</w:t>
      </w:r>
      <w:bookmarkEnd w:id="3"/>
    </w:p>
    <w:p w:rsidR="007B58DF" w:rsidP="007D234A" w:rsidRDefault="00870673" w14:paraId="4D9D39B4" w14:textId="7D863807">
      <w:pPr>
        <w:pStyle w:val="ListBullet"/>
      </w:pPr>
      <w:r>
        <w:t>Uphold the school’s special character as defined in the Integration Agreement</w:t>
      </w:r>
      <w:r w:rsidR="00A22016">
        <w:t>, and special character guidelines</w:t>
      </w:r>
      <w:r>
        <w:t>.</w:t>
      </w:r>
    </w:p>
    <w:p w:rsidR="007B58DF" w:rsidP="007D234A" w:rsidRDefault="00870673" w14:paraId="23BB84A3" w14:textId="77777777">
      <w:pPr>
        <w:pStyle w:val="ListBullet"/>
      </w:pPr>
      <w:r>
        <w:t>Operate with transparency, integrity, and mutual respect.</w:t>
      </w:r>
    </w:p>
    <w:p w:rsidR="007B58DF" w:rsidP="007D234A" w:rsidRDefault="00870673" w14:paraId="6BDC1750" w14:textId="2FAA1D1C">
      <w:pPr>
        <w:pStyle w:val="ListBullet"/>
      </w:pPr>
      <w:r>
        <w:t>Recognise the distinct but complementary roles of Proprietor</w:t>
      </w:r>
      <w:r w:rsidR="00AA0A26">
        <w:t xml:space="preserve"> (guardian of special character and owner of property)</w:t>
      </w:r>
      <w:r>
        <w:t xml:space="preserve"> and Board</w:t>
      </w:r>
      <w:r w:rsidR="00AA0A26">
        <w:t xml:space="preserve"> (governance of management, teaching and learning outcomes)</w:t>
      </w:r>
      <w:r>
        <w:t>.</w:t>
      </w:r>
    </w:p>
    <w:p w:rsidR="007B58DF" w:rsidP="007D234A" w:rsidRDefault="00870673" w14:paraId="75773771" w14:textId="77777777">
      <w:pPr>
        <w:pStyle w:val="ListBullet"/>
      </w:pPr>
      <w:r>
        <w:t>Promote the wellbeing and success of all students.</w:t>
      </w:r>
    </w:p>
    <w:p w:rsidR="007B58DF" w:rsidP="00D95C79" w:rsidRDefault="00870673" w14:paraId="7996F317" w14:textId="77777777">
      <w:pPr>
        <w:pStyle w:val="Heading1"/>
      </w:pPr>
      <w:bookmarkStart w:name="_Toc214449712" w:id="4"/>
      <w:r>
        <w:t>Governance and Relationship Overview</w:t>
      </w:r>
      <w:bookmarkEnd w:id="4"/>
    </w:p>
    <w:p w:rsidR="0039136D" w:rsidP="007D234A" w:rsidRDefault="00870673" w14:paraId="5C5DA4D5" w14:textId="2D5D5A2E">
      <w:r>
        <w:t xml:space="preserve">The Proprietor </w:t>
      </w:r>
      <w:r w:rsidR="00AA0A26">
        <w:t xml:space="preserve">is obligated to </w:t>
      </w:r>
      <w:r>
        <w:t>ensure the school operates in accordance with its Integration Agreement and preserves its special character. The Board governs the school’s performance, strategic direction, and compliance with law</w:t>
      </w:r>
      <w:r w:rsidR="000A6343">
        <w:t xml:space="preserve"> </w:t>
      </w:r>
      <w:r w:rsidRPr="005E5847" w:rsidR="005E5847">
        <w:t>and supports and implements special character in the school’s curriculum, culture and daily life</w:t>
      </w:r>
      <w:r>
        <w:t xml:space="preserve">. </w:t>
      </w:r>
      <w:r w:rsidR="0039136D">
        <w:br/>
      </w:r>
    </w:p>
    <w:p w:rsidR="007B58DF" w:rsidP="007D234A" w:rsidRDefault="00870673" w14:paraId="2EF8C21A" w14:textId="64A15F4C">
      <w:r>
        <w:t xml:space="preserve">The School Property Committee </w:t>
      </w:r>
      <w:r w:rsidR="0039136D">
        <w:t xml:space="preserve">(if one exists) </w:t>
      </w:r>
      <w:r>
        <w:t>shall include a representative of the Proprietor, who may report committee minutes to the Proprietor Executive.</w:t>
      </w:r>
    </w:p>
    <w:p w:rsidRPr="00542644" w:rsidR="00AE440A" w:rsidP="00AE440A" w:rsidRDefault="00AE440A" w14:paraId="33B4DEE8" w14:textId="0A30FFC8">
      <w:pPr>
        <w:spacing w:after="0" w:line="240" w:lineRule="auto"/>
        <w:rPr>
          <w:lang w:val="en-NZ"/>
        </w:rPr>
      </w:pPr>
      <w:r w:rsidRPr="00542644">
        <w:rPr>
          <w:lang w:val="en-NZ"/>
        </w:rPr>
        <w:t>The Proprietor can appoint up to</w:t>
      </w:r>
      <w:r>
        <w:rPr>
          <w:lang w:val="en-NZ"/>
        </w:rPr>
        <w:t xml:space="preserve"> XX</w:t>
      </w:r>
      <w:r w:rsidRPr="00542644">
        <w:rPr>
          <w:lang w:val="en-NZ"/>
        </w:rPr>
        <w:t xml:space="preserve"> proprietor appointees to the school </w:t>
      </w:r>
      <w:r w:rsidR="001216ED">
        <w:rPr>
          <w:lang w:val="en-NZ"/>
        </w:rPr>
        <w:t>board</w:t>
      </w:r>
      <w:r w:rsidRPr="00542644">
        <w:rPr>
          <w:lang w:val="en-NZ"/>
        </w:rPr>
        <w:t xml:space="preserve">. </w:t>
      </w:r>
      <w:r w:rsidR="002A24FE">
        <w:rPr>
          <w:lang w:val="en-NZ"/>
        </w:rPr>
        <w:t>(max 4)</w:t>
      </w:r>
    </w:p>
    <w:p w:rsidR="00AE440A" w:rsidP="00AE440A" w:rsidRDefault="00AE440A" w14:paraId="47A854BB" w14:textId="55E81592">
      <w:r w:rsidRPr="00542644">
        <w:rPr>
          <w:lang w:val="en-NZ"/>
        </w:rPr>
        <w:t xml:space="preserve">Proprietor appointees are </w:t>
      </w:r>
      <w:r w:rsidR="00910A7B">
        <w:rPr>
          <w:lang w:val="en-NZ"/>
        </w:rPr>
        <w:t xml:space="preserve">usually </w:t>
      </w:r>
      <w:r w:rsidRPr="00542644">
        <w:rPr>
          <w:lang w:val="en-NZ"/>
        </w:rPr>
        <w:t xml:space="preserve">reviewed and appointed in line with the standard </w:t>
      </w:r>
      <w:r>
        <w:rPr>
          <w:lang w:val="en-NZ"/>
        </w:rPr>
        <w:t xml:space="preserve">school board </w:t>
      </w:r>
      <w:r w:rsidRPr="00542644">
        <w:rPr>
          <w:lang w:val="en-NZ"/>
        </w:rPr>
        <w:t>election cycle but may also be reviewed at any time in consultation with the Principal and Board Chair.</w:t>
      </w:r>
      <w:r w:rsidR="006F5BE9">
        <w:rPr>
          <w:lang w:val="en-NZ"/>
        </w:rPr>
        <w:t xml:space="preserve">  (</w:t>
      </w:r>
      <w:r w:rsidRPr="006F5BE9" w:rsidR="006F5BE9">
        <w:rPr>
          <w:i/>
          <w:iCs/>
          <w:sz w:val="20"/>
          <w:szCs w:val="20"/>
          <w:lang w:val="en-NZ"/>
        </w:rPr>
        <w:t>refer to legislation</w:t>
      </w:r>
      <w:r w:rsidR="006F5BE9">
        <w:rPr>
          <w:i/>
          <w:iCs/>
          <w:sz w:val="20"/>
          <w:szCs w:val="20"/>
          <w:lang w:val="en-NZ"/>
        </w:rPr>
        <w:t xml:space="preserve"> for more information</w:t>
      </w:r>
      <w:r w:rsidR="006F5BE9">
        <w:rPr>
          <w:lang w:val="en-NZ"/>
        </w:rPr>
        <w:t>)</w:t>
      </w:r>
    </w:p>
    <w:p w:rsidR="007B58DF" w:rsidP="00D95C79" w:rsidRDefault="00870673" w14:paraId="183B25F5" w14:textId="77777777">
      <w:pPr>
        <w:pStyle w:val="Heading1"/>
      </w:pPr>
      <w:bookmarkStart w:name="_Toc214449713" w:id="5"/>
      <w:r>
        <w:t>Roles and Responsibilities</w:t>
      </w:r>
      <w:bookmarkEnd w:id="5"/>
    </w:p>
    <w:tbl>
      <w:tblPr>
        <w:tblStyle w:val="GridTable5Dark-Accent21"/>
        <w:tblW w:w="0" w:type="auto"/>
        <w:tblLook w:val="04A0" w:firstRow="1" w:lastRow="0" w:firstColumn="1" w:lastColumn="0" w:noHBand="0" w:noVBand="1"/>
      </w:tblPr>
      <w:tblGrid>
        <w:gridCol w:w="1628"/>
        <w:gridCol w:w="3543"/>
        <w:gridCol w:w="4179"/>
      </w:tblGrid>
      <w:tr w:rsidRPr="004E4408" w:rsidR="00F43E9F" w:rsidTr="00D16662" w14:paraId="3FA570A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Pr="004E4408" w:rsidR="00710BAA" w:rsidP="007D234A" w:rsidRDefault="00710BAA" w14:paraId="5E8ECFCA" w14:textId="77777777">
            <w:pPr>
              <w:rPr>
                <w:lang w:val="en-NZ"/>
              </w:rPr>
            </w:pPr>
            <w:r w:rsidRPr="004E4408">
              <w:rPr>
                <w:lang w:val="en-NZ"/>
              </w:rPr>
              <w:t>Area</w:t>
            </w:r>
          </w:p>
        </w:tc>
        <w:tc>
          <w:tcPr>
            <w:tcW w:w="0" w:type="auto"/>
            <w:hideMark/>
          </w:tcPr>
          <w:p w:rsidRPr="004E4408" w:rsidR="00710BAA" w:rsidP="007D234A" w:rsidRDefault="00710BAA" w14:paraId="27C64E1A" w14:textId="77777777">
            <w:pPr>
              <w:cnfStyle w:val="100000000000" w:firstRow="1" w:lastRow="0" w:firstColumn="0" w:lastColumn="0" w:oddVBand="0" w:evenVBand="0" w:oddHBand="0" w:evenHBand="0" w:firstRowFirstColumn="0" w:firstRowLastColumn="0" w:lastRowFirstColumn="0" w:lastRowLastColumn="0"/>
              <w:rPr>
                <w:lang w:val="en-NZ"/>
              </w:rPr>
            </w:pPr>
            <w:r w:rsidRPr="004E4408">
              <w:rPr>
                <w:lang w:val="en-NZ"/>
              </w:rPr>
              <w:t>Proprietor</w:t>
            </w:r>
          </w:p>
        </w:tc>
        <w:tc>
          <w:tcPr>
            <w:tcW w:w="0" w:type="auto"/>
            <w:hideMark/>
          </w:tcPr>
          <w:p w:rsidRPr="004E4408" w:rsidR="00710BAA" w:rsidP="007D234A" w:rsidRDefault="00710BAA" w14:paraId="7DAF0D7D" w14:textId="77777777">
            <w:pPr>
              <w:cnfStyle w:val="100000000000" w:firstRow="1" w:lastRow="0" w:firstColumn="0" w:lastColumn="0" w:oddVBand="0" w:evenVBand="0" w:oddHBand="0" w:evenHBand="0" w:firstRowFirstColumn="0" w:firstRowLastColumn="0" w:lastRowFirstColumn="0" w:lastRowLastColumn="0"/>
              <w:rPr>
                <w:lang w:val="en-NZ"/>
              </w:rPr>
            </w:pPr>
            <w:r w:rsidRPr="004E4408">
              <w:rPr>
                <w:lang w:val="en-NZ"/>
              </w:rPr>
              <w:t>School Board</w:t>
            </w:r>
          </w:p>
        </w:tc>
      </w:tr>
      <w:tr w:rsidRPr="004E4408" w:rsidR="00F43E9F" w:rsidTr="00D16662" w14:paraId="69BFB7B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rsidRPr="004E4408" w:rsidR="00526488" w:rsidP="007D234A" w:rsidRDefault="00526488" w14:paraId="48DF23B6" w14:textId="77777777">
            <w:pPr>
              <w:rPr>
                <w:lang w:val="en-NZ"/>
              </w:rPr>
            </w:pPr>
            <w:r w:rsidRPr="004E4408">
              <w:rPr>
                <w:lang w:val="en-NZ"/>
              </w:rPr>
              <w:t>Governance</w:t>
            </w:r>
          </w:p>
        </w:tc>
        <w:tc>
          <w:tcPr>
            <w:tcW w:w="0" w:type="auto"/>
            <w:hideMark/>
          </w:tcPr>
          <w:p w:rsidRPr="004E4408" w:rsidR="00526488" w:rsidP="007D234A" w:rsidRDefault="00526488" w14:paraId="3369D8AE" w14:textId="5FEFDECA">
            <w:pPr>
              <w:cnfStyle w:val="000000100000" w:firstRow="0" w:lastRow="0" w:firstColumn="0" w:lastColumn="0" w:oddVBand="0" w:evenVBand="0" w:oddHBand="1" w:evenHBand="0" w:firstRowFirstColumn="0" w:firstRowLastColumn="0" w:lastRowFirstColumn="0" w:lastRowLastColumn="0"/>
              <w:rPr>
                <w:lang w:val="en-NZ"/>
              </w:rPr>
            </w:pPr>
            <w:r w:rsidRPr="004E4408">
              <w:rPr>
                <w:lang w:val="en-NZ"/>
              </w:rPr>
              <w:t xml:space="preserve">Ensures the school operates in accordance with the Integration Agreement and </w:t>
            </w:r>
            <w:r w:rsidR="00031F6C">
              <w:rPr>
                <w:lang w:val="en-NZ"/>
              </w:rPr>
              <w:t xml:space="preserve">has </w:t>
            </w:r>
            <w:r w:rsidRPr="00374D71" w:rsidR="00374D71">
              <w:t>the responsibility of supervising the maintenance and preservation of the education with a special character provided by the schoo</w:t>
            </w:r>
            <w:r w:rsidR="00051EB9">
              <w:t>l</w:t>
            </w:r>
          </w:p>
        </w:tc>
        <w:tc>
          <w:tcPr>
            <w:tcW w:w="0" w:type="auto"/>
            <w:hideMark/>
          </w:tcPr>
          <w:p w:rsidRPr="004E4408" w:rsidR="00526488" w:rsidP="007D234A" w:rsidRDefault="00526488" w14:paraId="7EAA63B3" w14:textId="77777777">
            <w:pPr>
              <w:cnfStyle w:val="000000100000" w:firstRow="0" w:lastRow="0" w:firstColumn="0" w:lastColumn="0" w:oddVBand="0" w:evenVBand="0" w:oddHBand="1" w:evenHBand="0" w:firstRowFirstColumn="0" w:firstRowLastColumn="0" w:lastRowFirstColumn="0" w:lastRowLastColumn="0"/>
              <w:rPr>
                <w:lang w:val="en-NZ"/>
              </w:rPr>
            </w:pPr>
            <w:r w:rsidRPr="004E4408">
              <w:rPr>
                <w:lang w:val="en-NZ"/>
              </w:rPr>
              <w:t>Governs the school’s performance, strategic direction, and compliance with legislation.</w:t>
            </w:r>
          </w:p>
        </w:tc>
      </w:tr>
      <w:tr w:rsidRPr="004E4408" w:rsidR="00F43E9F" w:rsidTr="00D16662" w14:paraId="3F3D9851" w14:textId="77777777">
        <w:tc>
          <w:tcPr>
            <w:cnfStyle w:val="001000000000" w:firstRow="0" w:lastRow="0" w:firstColumn="1" w:lastColumn="0" w:oddVBand="0" w:evenVBand="0" w:oddHBand="0" w:evenHBand="0" w:firstRowFirstColumn="0" w:firstRowLastColumn="0" w:lastRowFirstColumn="0" w:lastRowLastColumn="0"/>
            <w:tcW w:w="0" w:type="auto"/>
            <w:vMerge/>
          </w:tcPr>
          <w:p w:rsidRPr="004E4408" w:rsidR="00526488" w:rsidP="007D234A" w:rsidRDefault="00526488" w14:paraId="743136C8" w14:textId="77777777">
            <w:pPr>
              <w:rPr>
                <w:lang w:val="en-NZ"/>
              </w:rPr>
            </w:pPr>
          </w:p>
        </w:tc>
        <w:tc>
          <w:tcPr>
            <w:tcW w:w="0" w:type="auto"/>
          </w:tcPr>
          <w:p w:rsidRPr="004E4408" w:rsidR="00526488" w:rsidP="00542644" w:rsidRDefault="0031609E" w14:paraId="1F0F8B52" w14:textId="1F4E010F">
            <w:pPr>
              <w:cnfStyle w:val="000000000000" w:firstRow="0" w:lastRow="0" w:firstColumn="0" w:lastColumn="0" w:oddVBand="0" w:evenVBand="0" w:oddHBand="0" w:evenHBand="0" w:firstRowFirstColumn="0" w:firstRowLastColumn="0" w:lastRowFirstColumn="0" w:lastRowLastColumn="0"/>
              <w:rPr>
                <w:lang w:val="en-NZ"/>
              </w:rPr>
            </w:pPr>
            <w:r>
              <w:rPr>
                <w:lang w:val="en-NZ"/>
              </w:rPr>
              <w:t>Appoint</w:t>
            </w:r>
            <w:r w:rsidR="004A4A9C">
              <w:rPr>
                <w:lang w:val="en-NZ"/>
              </w:rPr>
              <w:t>s</w:t>
            </w:r>
            <w:r>
              <w:rPr>
                <w:lang w:val="en-NZ"/>
              </w:rPr>
              <w:t xml:space="preserve"> </w:t>
            </w:r>
            <w:r w:rsidR="00FC642E">
              <w:rPr>
                <w:lang w:val="en-NZ"/>
              </w:rPr>
              <w:t>up to 4 representatives</w:t>
            </w:r>
            <w:r>
              <w:rPr>
                <w:lang w:val="en-NZ"/>
              </w:rPr>
              <w:t xml:space="preserve"> to school board</w:t>
            </w:r>
            <w:r w:rsidR="004A4A9C">
              <w:rPr>
                <w:lang w:val="en-NZ"/>
              </w:rPr>
              <w:t xml:space="preserve"> – referred to as </w:t>
            </w:r>
            <w:r w:rsidR="00985666">
              <w:rPr>
                <w:lang w:val="en-NZ"/>
              </w:rPr>
              <w:t>Proprietor Appointees</w:t>
            </w:r>
          </w:p>
        </w:tc>
        <w:tc>
          <w:tcPr>
            <w:tcW w:w="0" w:type="auto"/>
          </w:tcPr>
          <w:p w:rsidRPr="004E4408" w:rsidR="00526488" w:rsidP="007D234A" w:rsidRDefault="00FC642E" w14:paraId="32609B96" w14:textId="6D9A00D5">
            <w:pPr>
              <w:cnfStyle w:val="000000000000" w:firstRow="0" w:lastRow="0" w:firstColumn="0" w:lastColumn="0" w:oddVBand="0" w:evenVBand="0" w:oddHBand="0" w:evenHBand="0" w:firstRowFirstColumn="0" w:firstRowLastColumn="0" w:lastRowFirstColumn="0" w:lastRowLastColumn="0"/>
              <w:rPr>
                <w:lang w:val="en-NZ"/>
              </w:rPr>
            </w:pPr>
            <w:r>
              <w:rPr>
                <w:lang w:val="en-NZ"/>
              </w:rPr>
              <w:t>Ensures all board members have equal voice and equal vote.</w:t>
            </w:r>
            <w:r w:rsidR="00196788">
              <w:rPr>
                <w:lang w:val="en-NZ"/>
              </w:rPr>
              <w:t xml:space="preserve"> Presiding member can be the proprietor appointee. </w:t>
            </w:r>
          </w:p>
        </w:tc>
      </w:tr>
      <w:tr w:rsidRPr="004E4408" w:rsidR="00F43E9F" w:rsidTr="00D16662" w14:paraId="27FC19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Pr="004E4408" w:rsidR="00710BAA" w:rsidP="007D234A" w:rsidRDefault="00710BAA" w14:paraId="7AF80B0C" w14:textId="77777777">
            <w:pPr>
              <w:rPr>
                <w:lang w:val="en-NZ"/>
              </w:rPr>
            </w:pPr>
            <w:r w:rsidRPr="004E4408">
              <w:rPr>
                <w:lang w:val="en-NZ"/>
              </w:rPr>
              <w:t>Property</w:t>
            </w:r>
          </w:p>
        </w:tc>
        <w:tc>
          <w:tcPr>
            <w:tcW w:w="0" w:type="auto"/>
            <w:hideMark/>
          </w:tcPr>
          <w:p w:rsidRPr="004E4408" w:rsidR="00710BAA" w:rsidP="007D234A" w:rsidRDefault="00710BAA" w14:paraId="18CCB935" w14:textId="63CBFC41">
            <w:pPr>
              <w:cnfStyle w:val="000000100000" w:firstRow="0" w:lastRow="0" w:firstColumn="0" w:lastColumn="0" w:oddVBand="0" w:evenVBand="0" w:oddHBand="1" w:evenHBand="0" w:firstRowFirstColumn="0" w:firstRowLastColumn="0" w:lastRowFirstColumn="0" w:lastRowLastColumn="0"/>
              <w:rPr>
                <w:lang w:val="en-NZ"/>
              </w:rPr>
            </w:pPr>
            <w:r w:rsidRPr="004E4408">
              <w:rPr>
                <w:lang w:val="en-NZ"/>
              </w:rPr>
              <w:t>Owns and maintains the school’s land and buildings (integrated property). Responsible for capital works,</w:t>
            </w:r>
            <w:r w:rsidR="00CA0FF9">
              <w:rPr>
                <w:lang w:val="en-NZ"/>
              </w:rPr>
              <w:t xml:space="preserve"> major</w:t>
            </w:r>
            <w:r w:rsidRPr="004E4408">
              <w:rPr>
                <w:lang w:val="en-NZ"/>
              </w:rPr>
              <w:t xml:space="preserve"> maintenance of </w:t>
            </w:r>
            <w:r w:rsidR="00665982">
              <w:rPr>
                <w:lang w:val="en-NZ"/>
              </w:rPr>
              <w:t>integrated</w:t>
            </w:r>
            <w:r w:rsidRPr="004E4408">
              <w:rPr>
                <w:lang w:val="en-NZ"/>
              </w:rPr>
              <w:t xml:space="preserve"> property, and approval of building alterations</w:t>
            </w:r>
            <w:r w:rsidR="00247E2B">
              <w:t xml:space="preserve"> </w:t>
            </w:r>
            <w:r w:rsidRPr="00247E2B" w:rsidR="00247E2B">
              <w:rPr>
                <w:lang w:val="en-NZ"/>
              </w:rPr>
              <w:t>that the board might propose to the proprietor for implementation.</w:t>
            </w:r>
          </w:p>
        </w:tc>
        <w:tc>
          <w:tcPr>
            <w:tcW w:w="0" w:type="auto"/>
            <w:hideMark/>
          </w:tcPr>
          <w:p w:rsidRPr="004E4408" w:rsidR="00710BAA" w:rsidP="007D234A" w:rsidRDefault="00710BAA" w14:paraId="00E9E4D3" w14:textId="24BB2E10">
            <w:pPr>
              <w:cnfStyle w:val="000000100000" w:firstRow="0" w:lastRow="0" w:firstColumn="0" w:lastColumn="0" w:oddVBand="0" w:evenVBand="0" w:oddHBand="1" w:evenHBand="0" w:firstRowFirstColumn="0" w:firstRowLastColumn="0" w:lastRowFirstColumn="0" w:lastRowLastColumn="0"/>
              <w:rPr>
                <w:lang w:val="en-NZ"/>
              </w:rPr>
            </w:pPr>
            <w:r w:rsidRPr="004E4408">
              <w:rPr>
                <w:lang w:val="en-NZ"/>
              </w:rPr>
              <w:t xml:space="preserve">Maintains state-provided assets and furniture/equipment; </w:t>
            </w:r>
            <w:r w:rsidR="00BC6AA3">
              <w:rPr>
                <w:lang w:val="en-NZ"/>
              </w:rPr>
              <w:t>undertakes min</w:t>
            </w:r>
            <w:r w:rsidR="00F25153">
              <w:rPr>
                <w:lang w:val="en-NZ"/>
              </w:rPr>
              <w:t xml:space="preserve">or maintenance and </w:t>
            </w:r>
            <w:r w:rsidRPr="004E4408">
              <w:rPr>
                <w:lang w:val="en-NZ"/>
              </w:rPr>
              <w:t>cooperates on development.</w:t>
            </w:r>
          </w:p>
        </w:tc>
      </w:tr>
      <w:tr w:rsidRPr="004E4408" w:rsidR="00F43E9F" w:rsidTr="00D16662" w14:paraId="6431077E"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4E4408" w:rsidR="00710BAA" w:rsidP="007D234A" w:rsidRDefault="00710BAA" w14:paraId="0D69C785" w14:textId="77777777">
            <w:pPr>
              <w:rPr>
                <w:lang w:val="en-NZ"/>
              </w:rPr>
            </w:pPr>
            <w:r w:rsidRPr="004E4408">
              <w:rPr>
                <w:lang w:val="en-NZ"/>
              </w:rPr>
              <w:t>Special Character</w:t>
            </w:r>
          </w:p>
        </w:tc>
        <w:tc>
          <w:tcPr>
            <w:tcW w:w="0" w:type="auto"/>
            <w:hideMark/>
          </w:tcPr>
          <w:p w:rsidRPr="004E4408" w:rsidR="00710BAA" w:rsidP="007D234A" w:rsidRDefault="00710BAA" w14:paraId="2E17FDC4" w14:textId="77777777">
            <w:pPr>
              <w:cnfStyle w:val="000000000000" w:firstRow="0" w:lastRow="0" w:firstColumn="0" w:lastColumn="0" w:oddVBand="0" w:evenVBand="0" w:oddHBand="0" w:evenHBand="0" w:firstRowFirstColumn="0" w:firstRowLastColumn="0" w:lastRowFirstColumn="0" w:lastRowLastColumn="0"/>
              <w:rPr>
                <w:lang w:val="en-NZ"/>
              </w:rPr>
            </w:pPr>
            <w:r w:rsidRPr="004E4408">
              <w:rPr>
                <w:lang w:val="en-NZ"/>
              </w:rPr>
              <w:t>Defines and safeguards the special character. Approves appointments requiring special character attestation.</w:t>
            </w:r>
          </w:p>
        </w:tc>
        <w:tc>
          <w:tcPr>
            <w:tcW w:w="0" w:type="auto"/>
            <w:hideMark/>
          </w:tcPr>
          <w:p w:rsidRPr="004E4408" w:rsidR="00710BAA" w:rsidP="007D234A" w:rsidRDefault="00710BAA" w14:paraId="696F0C20" w14:textId="77777777">
            <w:pPr>
              <w:cnfStyle w:val="000000000000" w:firstRow="0" w:lastRow="0" w:firstColumn="0" w:lastColumn="0" w:oddVBand="0" w:evenVBand="0" w:oddHBand="0" w:evenHBand="0" w:firstRowFirstColumn="0" w:firstRowLastColumn="0" w:lastRowFirstColumn="0" w:lastRowLastColumn="0"/>
              <w:rPr>
                <w:lang w:val="en-NZ"/>
              </w:rPr>
            </w:pPr>
            <w:r w:rsidRPr="004E4408">
              <w:rPr>
                <w:lang w:val="en-NZ"/>
              </w:rPr>
              <w:t>Supports and implements special character in curriculum, culture, and daily life.</w:t>
            </w:r>
          </w:p>
        </w:tc>
      </w:tr>
      <w:tr w:rsidRPr="004E4408" w:rsidR="00F43E9F" w:rsidTr="00D16662" w14:paraId="0A3AF2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Pr="004E4408" w:rsidR="00710BAA" w:rsidP="007D234A" w:rsidRDefault="00710BAA" w14:paraId="47F96974" w14:textId="77777777">
            <w:pPr>
              <w:rPr>
                <w:lang w:val="en-NZ"/>
              </w:rPr>
            </w:pPr>
            <w:r w:rsidRPr="004E4408">
              <w:rPr>
                <w:lang w:val="en-NZ"/>
              </w:rPr>
              <w:t>Staffing</w:t>
            </w:r>
          </w:p>
        </w:tc>
        <w:tc>
          <w:tcPr>
            <w:tcW w:w="0" w:type="auto"/>
            <w:hideMark/>
          </w:tcPr>
          <w:p w:rsidRPr="004E4408" w:rsidR="00710BAA" w:rsidP="007D234A" w:rsidRDefault="00710BAA" w14:paraId="464F6A92" w14:textId="40B4E81E">
            <w:pPr>
              <w:cnfStyle w:val="000000100000" w:firstRow="0" w:lastRow="0" w:firstColumn="0" w:lastColumn="0" w:oddVBand="0" w:evenVBand="0" w:oddHBand="1" w:evenHBand="0" w:firstRowFirstColumn="0" w:firstRowLastColumn="0" w:lastRowFirstColumn="0" w:lastRowLastColumn="0"/>
              <w:rPr>
                <w:lang w:val="en-NZ"/>
              </w:rPr>
            </w:pPr>
            <w:r w:rsidRPr="004E4408">
              <w:rPr>
                <w:lang w:val="en-NZ"/>
              </w:rPr>
              <w:t xml:space="preserve">Certifies that staff in </w:t>
            </w:r>
            <w:r w:rsidR="0034194A">
              <w:rPr>
                <w:lang w:val="en-NZ"/>
              </w:rPr>
              <w:t>Special Character (</w:t>
            </w:r>
            <w:r w:rsidRPr="004E4408">
              <w:rPr>
                <w:lang w:val="en-NZ"/>
              </w:rPr>
              <w:t>tagged</w:t>
            </w:r>
            <w:r w:rsidR="0034194A">
              <w:rPr>
                <w:lang w:val="en-NZ"/>
              </w:rPr>
              <w:t>)</w:t>
            </w:r>
            <w:r w:rsidRPr="004E4408">
              <w:rPr>
                <w:lang w:val="en-NZ"/>
              </w:rPr>
              <w:t>positions meet special character requirements; participates in appointments for leadership or tagged positions.</w:t>
            </w:r>
          </w:p>
        </w:tc>
        <w:tc>
          <w:tcPr>
            <w:tcW w:w="0" w:type="auto"/>
            <w:hideMark/>
          </w:tcPr>
          <w:p w:rsidRPr="004E4408" w:rsidR="00710BAA" w:rsidP="007404C7" w:rsidRDefault="007404C7" w14:paraId="6FB83E4D" w14:textId="4DC39BAD">
            <w:pPr>
              <w:cnfStyle w:val="000000100000" w:firstRow="0" w:lastRow="0" w:firstColumn="0" w:lastColumn="0" w:oddVBand="0" w:evenVBand="0" w:oddHBand="1" w:evenHBand="0" w:firstRowFirstColumn="0" w:firstRowLastColumn="0" w:lastRowFirstColumn="0" w:lastRowLastColumn="0"/>
              <w:rPr>
                <w:lang w:val="en-NZ"/>
              </w:rPr>
            </w:pPr>
            <w:r>
              <w:t>The school board section of the staffing line in the table paragraph currently reads: “</w:t>
            </w:r>
            <w:r w:rsidRPr="004E4408">
              <w:t>Employs all staff under the State Sector Act provisions; responsible for employment processes.</w:t>
            </w:r>
            <w:r>
              <w:t xml:space="preserve">  Includes </w:t>
            </w:r>
            <w:r>
              <w:t xml:space="preserve">proprietor appointee in a committee, if delegated, for all </w:t>
            </w:r>
            <w:r w:rsidRPr="00433CD5" w:rsidR="00ED2AF4">
              <w:rPr>
                <w:color w:val="EE0000"/>
              </w:rPr>
              <w:t>Schedule 6 Cl 47 and Schedule 6 Cl 50 “tagged</w:t>
            </w:r>
            <w:r w:rsidR="00ED2AF4">
              <w:rPr>
                <w:color w:val="EE0000"/>
              </w:rPr>
              <w:t>”</w:t>
            </w:r>
            <w:r>
              <w:t xml:space="preserve"> teaching positions</w:t>
            </w:r>
            <w:r w:rsidR="00AB2653">
              <w:t xml:space="preserve">. </w:t>
            </w:r>
          </w:p>
        </w:tc>
      </w:tr>
      <w:tr w:rsidRPr="004E4408" w:rsidR="00F43E9F" w:rsidTr="00D16662" w14:paraId="7C72D4CD"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4E4408" w:rsidR="00710BAA" w:rsidP="007D234A" w:rsidRDefault="00710BAA" w14:paraId="12875289" w14:textId="77777777">
            <w:pPr>
              <w:rPr>
                <w:lang w:val="en-NZ"/>
              </w:rPr>
            </w:pPr>
            <w:r w:rsidRPr="004E4408">
              <w:rPr>
                <w:lang w:val="en-NZ"/>
              </w:rPr>
              <w:t>Enrolment</w:t>
            </w:r>
          </w:p>
        </w:tc>
        <w:tc>
          <w:tcPr>
            <w:tcW w:w="0" w:type="auto"/>
            <w:hideMark/>
          </w:tcPr>
          <w:p w:rsidRPr="004E4408" w:rsidR="00710BAA" w:rsidP="007D234A" w:rsidRDefault="00710BAA" w14:paraId="6C7607B7" w14:textId="4B25DC36">
            <w:pPr>
              <w:cnfStyle w:val="000000000000" w:firstRow="0" w:lastRow="0" w:firstColumn="0" w:lastColumn="0" w:oddVBand="0" w:evenVBand="0" w:oddHBand="0" w:evenHBand="0" w:firstRowFirstColumn="0" w:firstRowLastColumn="0" w:lastRowFirstColumn="0" w:lastRowLastColumn="0"/>
              <w:rPr>
                <w:lang w:val="en-NZ"/>
              </w:rPr>
            </w:pPr>
            <w:r w:rsidRPr="004E4408">
              <w:rPr>
                <w:lang w:val="en-NZ"/>
              </w:rPr>
              <w:t xml:space="preserve">Sets the school’s maximum roll </w:t>
            </w:r>
            <w:r w:rsidR="00685483">
              <w:rPr>
                <w:lang w:val="en-NZ"/>
              </w:rPr>
              <w:t xml:space="preserve">in agreement with Crown, </w:t>
            </w:r>
            <w:r w:rsidRPr="004E4408">
              <w:rPr>
                <w:lang w:val="en-NZ"/>
              </w:rPr>
              <w:t>and preference enrolment definitions per the Integration Agreement.</w:t>
            </w:r>
          </w:p>
        </w:tc>
        <w:tc>
          <w:tcPr>
            <w:tcW w:w="0" w:type="auto"/>
            <w:hideMark/>
          </w:tcPr>
          <w:p w:rsidRPr="004E4408" w:rsidR="00710BAA" w:rsidP="007D234A" w:rsidRDefault="00710BAA" w14:paraId="0712EF4B" w14:textId="63E6C5C0">
            <w:pPr>
              <w:cnfStyle w:val="000000000000" w:firstRow="0" w:lastRow="0" w:firstColumn="0" w:lastColumn="0" w:oddVBand="0" w:evenVBand="0" w:oddHBand="0" w:evenHBand="0" w:firstRowFirstColumn="0" w:firstRowLastColumn="0" w:lastRowFirstColumn="0" w:lastRowLastColumn="0"/>
              <w:rPr>
                <w:lang w:val="en-NZ"/>
              </w:rPr>
            </w:pPr>
            <w:r w:rsidRPr="004E4408">
              <w:rPr>
                <w:lang w:val="en-NZ"/>
              </w:rPr>
              <w:t>Manages enrolments and maintains the balance of preference and non-preference students per the Act</w:t>
            </w:r>
            <w:r w:rsidR="00576561">
              <w:rPr>
                <w:lang w:val="en-NZ"/>
              </w:rPr>
              <w:t xml:space="preserve"> and does not exceed the maximum roll. </w:t>
            </w:r>
          </w:p>
        </w:tc>
      </w:tr>
      <w:tr w:rsidRPr="004E4408" w:rsidR="00F43E9F" w:rsidTr="00D16662" w14:paraId="56322BA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Pr="004E4408" w:rsidR="00710BAA" w:rsidP="007D234A" w:rsidRDefault="00710BAA" w14:paraId="5C5AC464" w14:textId="77777777">
            <w:pPr>
              <w:rPr>
                <w:lang w:val="en-NZ"/>
              </w:rPr>
            </w:pPr>
            <w:r w:rsidRPr="004E4408">
              <w:rPr>
                <w:lang w:val="en-NZ"/>
              </w:rPr>
              <w:t>Financial Management</w:t>
            </w:r>
          </w:p>
        </w:tc>
        <w:tc>
          <w:tcPr>
            <w:tcW w:w="0" w:type="auto"/>
            <w:hideMark/>
          </w:tcPr>
          <w:p w:rsidRPr="004E4408" w:rsidR="00710BAA" w:rsidP="007D234A" w:rsidRDefault="00710BAA" w14:paraId="212D1D5A" w14:textId="77777777">
            <w:pPr>
              <w:cnfStyle w:val="000000100000" w:firstRow="0" w:lastRow="0" w:firstColumn="0" w:lastColumn="0" w:oddVBand="0" w:evenVBand="0" w:oddHBand="1" w:evenHBand="0" w:firstRowFirstColumn="0" w:firstRowLastColumn="0" w:lastRowFirstColumn="0" w:lastRowLastColumn="0"/>
              <w:rPr>
                <w:lang w:val="en-NZ"/>
              </w:rPr>
            </w:pPr>
            <w:r w:rsidRPr="004E4408">
              <w:rPr>
                <w:lang w:val="en-NZ"/>
              </w:rPr>
              <w:t>Receives attendance dues and funds property maintenance; funds are not available for operational expenditure.</w:t>
            </w:r>
          </w:p>
        </w:tc>
        <w:tc>
          <w:tcPr>
            <w:tcW w:w="0" w:type="auto"/>
            <w:hideMark/>
          </w:tcPr>
          <w:p w:rsidRPr="004E4408" w:rsidR="00710BAA" w:rsidP="007D234A" w:rsidRDefault="00710BAA" w14:paraId="5ACBC42F" w14:textId="77777777">
            <w:pPr>
              <w:cnfStyle w:val="000000100000" w:firstRow="0" w:lastRow="0" w:firstColumn="0" w:lastColumn="0" w:oddVBand="0" w:evenVBand="0" w:oddHBand="1" w:evenHBand="0" w:firstRowFirstColumn="0" w:firstRowLastColumn="0" w:lastRowFirstColumn="0" w:lastRowLastColumn="0"/>
              <w:rPr>
                <w:lang w:val="en-NZ"/>
              </w:rPr>
            </w:pPr>
            <w:r w:rsidRPr="004E4408">
              <w:rPr>
                <w:lang w:val="en-NZ"/>
              </w:rPr>
              <w:t>Manages operational grant from the Ministry; ensures sound financial stewardship.</w:t>
            </w:r>
          </w:p>
        </w:tc>
      </w:tr>
      <w:tr w:rsidRPr="004E4408" w:rsidR="00F43E9F" w:rsidTr="00D16662" w14:paraId="22931DFD"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4E4408" w:rsidR="00710BAA" w:rsidP="007D234A" w:rsidRDefault="00710BAA" w14:paraId="5DC13A59" w14:textId="77777777">
            <w:pPr>
              <w:rPr>
                <w:lang w:val="en-NZ"/>
              </w:rPr>
            </w:pPr>
            <w:r w:rsidRPr="004E4408">
              <w:rPr>
                <w:lang w:val="en-NZ"/>
              </w:rPr>
              <w:t>Health &amp; Safety / Wellbeing</w:t>
            </w:r>
          </w:p>
        </w:tc>
        <w:tc>
          <w:tcPr>
            <w:tcW w:w="0" w:type="auto"/>
            <w:hideMark/>
          </w:tcPr>
          <w:p w:rsidRPr="004E4408" w:rsidR="00710BAA" w:rsidP="007D234A" w:rsidRDefault="00710BAA" w14:paraId="58E84744" w14:textId="77777777">
            <w:pPr>
              <w:cnfStyle w:val="000000000000" w:firstRow="0" w:lastRow="0" w:firstColumn="0" w:lastColumn="0" w:oddVBand="0" w:evenVBand="0" w:oddHBand="0" w:evenHBand="0" w:firstRowFirstColumn="0" w:firstRowLastColumn="0" w:lastRowFirstColumn="0" w:lastRowLastColumn="0"/>
              <w:rPr>
                <w:lang w:val="en-NZ"/>
              </w:rPr>
            </w:pPr>
            <w:r w:rsidRPr="004E4408">
              <w:rPr>
                <w:lang w:val="en-NZ"/>
              </w:rPr>
              <w:t>Ensures property meets legal standards and safe use; cooperates on emergency planning.</w:t>
            </w:r>
          </w:p>
        </w:tc>
        <w:tc>
          <w:tcPr>
            <w:tcW w:w="0" w:type="auto"/>
            <w:hideMark/>
          </w:tcPr>
          <w:p w:rsidRPr="004E4408" w:rsidR="00710BAA" w:rsidP="007D234A" w:rsidRDefault="00710BAA" w14:paraId="6202DADC" w14:textId="77777777">
            <w:pPr>
              <w:cnfStyle w:val="000000000000" w:firstRow="0" w:lastRow="0" w:firstColumn="0" w:lastColumn="0" w:oddVBand="0" w:evenVBand="0" w:oddHBand="0" w:evenHBand="0" w:firstRowFirstColumn="0" w:firstRowLastColumn="0" w:lastRowFirstColumn="0" w:lastRowLastColumn="0"/>
              <w:rPr>
                <w:lang w:val="en-NZ"/>
              </w:rPr>
            </w:pPr>
            <w:r w:rsidRPr="004E4408">
              <w:rPr>
                <w:lang w:val="en-NZ"/>
              </w:rPr>
              <w:t>Implements day-to-day health and safety management and compliance.</w:t>
            </w:r>
          </w:p>
        </w:tc>
      </w:tr>
    </w:tbl>
    <w:p w:rsidR="007B58DF" w:rsidP="00D16662" w:rsidRDefault="00870673" w14:paraId="302BD88F" w14:textId="6B36A9DA">
      <w:pPr>
        <w:pStyle w:val="Heading2"/>
      </w:pPr>
      <w:bookmarkStart w:name="_Toc214449714" w:id="6"/>
      <w:r w:rsidRPr="00D16662">
        <w:t>Property</w:t>
      </w:r>
      <w:bookmarkEnd w:id="6"/>
    </w:p>
    <w:p w:rsidR="007B58DF" w:rsidP="007D234A" w:rsidRDefault="00870673" w14:paraId="1D1FB467" w14:textId="61BE727D">
      <w:r>
        <w:t xml:space="preserve">The Proprietor owns and maintains integrated property. The Board maintains state-funded assets such as furniture and equipment. Property planning, maintenance, and development shall occur </w:t>
      </w:r>
      <w:r w:rsidRPr="00AA0A26">
        <w:rPr>
          <w:b/>
          <w:bCs/>
        </w:rPr>
        <w:t>jointly</w:t>
      </w:r>
      <w:r>
        <w:t xml:space="preserve"> through the 10-Year Property Plan (10YPP). Both parties agree to follow Ministry of Education property guidelines. Insurance responsibilities are separate, with annual sharing of insurer details. </w:t>
      </w:r>
    </w:p>
    <w:p w:rsidRPr="004670D6" w:rsidR="00885B77" w:rsidP="00887631" w:rsidRDefault="00885B77" w14:paraId="4AF44073" w14:textId="264BE1A6">
      <w:pPr>
        <w:pStyle w:val="Heading3"/>
      </w:pPr>
      <w:r w:rsidRPr="004670D6">
        <w:t>External use of school premises</w:t>
      </w:r>
    </w:p>
    <w:p w:rsidRPr="004670D6" w:rsidR="00885B77" w:rsidP="03F1B67F" w:rsidRDefault="00885B77" w14:paraId="5A8990CF" w14:textId="64ECA4AF">
      <w:pPr>
        <w:rPr>
          <w:lang w:val="en-US"/>
        </w:rPr>
      </w:pPr>
      <w:r w:rsidRPr="03F1B67F" w:rsidR="03F1B67F">
        <w:rPr>
          <w:lang w:val="en-US"/>
        </w:rPr>
        <w:t>The Proprietor may use the school premises for its own purposes</w:t>
      </w:r>
      <w:r w:rsidRPr="03F1B67F" w:rsidR="03F1B67F">
        <w:rPr>
          <w:lang w:val="en-US"/>
        </w:rPr>
        <w:t xml:space="preserve"> outside school hours</w:t>
      </w:r>
      <w:r w:rsidRPr="03F1B67F" w:rsidR="03F1B67F">
        <w:rPr>
          <w:lang w:val="en-US"/>
        </w:rPr>
        <w:t>.</w:t>
      </w:r>
      <w:r w:rsidRPr="03F1B67F" w:rsidR="03F1B67F">
        <w:rPr>
          <w:lang w:val="en-US"/>
        </w:rPr>
        <w:t xml:space="preserve">  </w:t>
      </w:r>
      <w:r w:rsidRPr="03F1B67F" w:rsidR="03F1B67F">
        <w:rPr>
          <w:lang w:val="en-US"/>
        </w:rPr>
        <w:t xml:space="preserve">The Proprietor delegates the management for external use of school premises to </w:t>
      </w:r>
      <w:r w:rsidRPr="03F1B67F" w:rsidR="03F1B67F">
        <w:rPr>
          <w:lang w:val="en-US"/>
        </w:rPr>
        <w:t>the board.</w:t>
      </w:r>
    </w:p>
    <w:p w:rsidR="00887631" w:rsidP="00887631" w:rsidRDefault="00885B77" w14:paraId="19CCDC68" w14:textId="77777777">
      <w:r w:rsidRPr="004670D6">
        <w:rPr>
          <w:lang w:val="en-NZ"/>
        </w:rPr>
        <w:t xml:space="preserve">A financial surplus from external use is determined by deducting direct costs from gross revenue.  </w:t>
      </w:r>
      <w:r w:rsidR="00887631">
        <w:t>External facility use revenue is shared by agreement.</w:t>
      </w:r>
    </w:p>
    <w:p w:rsidR="00103F7F" w:rsidP="00014963" w:rsidRDefault="009B4D4D" w14:paraId="777256D0" w14:textId="1CEB1080">
      <w:pPr>
        <w:pStyle w:val="Heading3"/>
      </w:pPr>
      <w:proofErr w:type="gramStart"/>
      <w:r>
        <w:t>Non Integrated</w:t>
      </w:r>
      <w:proofErr w:type="gramEnd"/>
      <w:r>
        <w:t xml:space="preserve"> </w:t>
      </w:r>
      <w:r w:rsidRPr="00014963" w:rsidR="00014963">
        <w:t>Proprietor Offices on Site</w:t>
      </w:r>
    </w:p>
    <w:p w:rsidR="00014963" w:rsidP="00887631" w:rsidRDefault="00660064" w14:paraId="5E3AFDB8" w14:textId="17EAFDBC">
      <w:r w:rsidRPr="00660064">
        <w:t xml:space="preserve">Cost-sharing details for </w:t>
      </w:r>
      <w:r w:rsidR="00453CAD">
        <w:t xml:space="preserve">shared </w:t>
      </w:r>
      <w:r w:rsidRPr="00660064">
        <w:t>services (cleaning, power, IT)</w:t>
      </w:r>
      <w:r w:rsidRPr="00660064">
        <w:tab/>
      </w:r>
      <w:r w:rsidR="009334E3">
        <w:t>will be agree</w:t>
      </w:r>
      <w:r w:rsidR="00453CAD">
        <w:t xml:space="preserve">d with both parties.  This is based on </w:t>
      </w:r>
      <w:r w:rsidR="00917039">
        <w:t>best practice governance.</w:t>
      </w:r>
    </w:p>
    <w:p w:rsidR="007B58DF" w:rsidP="00887631" w:rsidRDefault="00870673" w14:paraId="64588DB6" w14:textId="633042D1">
      <w:pPr>
        <w:pStyle w:val="Heading2"/>
      </w:pPr>
      <w:bookmarkStart w:name="_Toc214449715" w:id="7"/>
      <w:r>
        <w:t>Special Character</w:t>
      </w:r>
      <w:bookmarkEnd w:id="7"/>
    </w:p>
    <w:p w:rsidR="00710BAA" w:rsidP="007D234A" w:rsidRDefault="00AA0A26" w14:paraId="439AC106" w14:textId="781B40D2">
      <w:r w:rsidRPr="00AA0A26">
        <w:rPr>
          <w:b/>
          <w:bCs/>
        </w:rPr>
        <w:t>Definition:</w:t>
      </w:r>
      <w:r>
        <w:t xml:space="preserve"> the </w:t>
      </w:r>
      <w:r w:rsidR="0058788A">
        <w:t>school’s</w:t>
      </w:r>
      <w:r>
        <w:t xml:space="preserve"> special character is as defined in the integration agreement. </w:t>
      </w:r>
    </w:p>
    <w:p w:rsidR="007B58DF" w:rsidP="007D234A" w:rsidRDefault="00AA0A26" w14:paraId="34416518" w14:textId="34160A76">
      <w:r>
        <w:t xml:space="preserve">The Proprietor defines, safeguards, and monitors the special character. It provides Special Character Guidelines and </w:t>
      </w:r>
      <w:r w:rsidR="00E66E3F">
        <w:t>requires an annual report from the proprietor appointees</w:t>
      </w:r>
      <w:r>
        <w:t>. The Board ensures all school operations, curriculum, and culture reflect and promote the special character.</w:t>
      </w:r>
    </w:p>
    <w:p w:rsidR="00710BAA" w:rsidP="007D234A" w:rsidRDefault="00710BAA" w14:paraId="4F9602F3" w14:textId="51AA19F4">
      <w:r>
        <w:t xml:space="preserve">The proprietor monitors and supports special character formation, including </w:t>
      </w:r>
      <w:r w:rsidR="003B3FCF">
        <w:t xml:space="preserve">review and </w:t>
      </w:r>
      <w:r w:rsidR="00E66E3F">
        <w:t>evaluation</w:t>
      </w:r>
      <w:r>
        <w:t xml:space="preserve"> and professional learning. </w:t>
      </w:r>
    </w:p>
    <w:p w:rsidR="00DF79CA" w:rsidP="008121EB" w:rsidRDefault="00DF79CA" w14:paraId="5F281184" w14:textId="77777777">
      <w:pPr>
        <w:rPr>
          <w:b/>
          <w:lang w:val="en-NZ"/>
        </w:rPr>
      </w:pPr>
    </w:p>
    <w:p w:rsidRPr="008121EB" w:rsidR="008121EB" w:rsidP="008121EB" w:rsidRDefault="008121EB" w14:paraId="04BE9AB0" w14:textId="0CA63410">
      <w:pPr>
        <w:rPr>
          <w:b/>
          <w:lang w:val="en-NZ"/>
        </w:rPr>
      </w:pPr>
      <w:r w:rsidRPr="008121EB">
        <w:rPr>
          <w:b/>
          <w:lang w:val="en-NZ"/>
        </w:rPr>
        <w:t>Collection and use of Special Character Donations (SCD)</w:t>
      </w:r>
    </w:p>
    <w:p w:rsidR="005430DC" w:rsidP="005430DC" w:rsidRDefault="0069647E" w14:paraId="0AB5CF2A" w14:textId="449F7C18">
      <w:pPr>
        <w:spacing w:after="0" w:line="240" w:lineRule="auto"/>
        <w:rPr>
          <w:sz w:val="24"/>
          <w:szCs w:val="24"/>
        </w:rPr>
      </w:pPr>
      <w:r>
        <w:rPr>
          <w:lang w:val="en-NZ"/>
        </w:rPr>
        <w:t>T</w:t>
      </w:r>
      <w:r w:rsidRPr="008121EB" w:rsidR="008121EB">
        <w:rPr>
          <w:lang w:val="en-NZ"/>
        </w:rPr>
        <w:t xml:space="preserve">he Proprietor or </w:t>
      </w:r>
      <w:r w:rsidR="00C20EB0">
        <w:rPr>
          <w:lang w:val="en-NZ"/>
        </w:rPr>
        <w:t>board</w:t>
      </w:r>
      <w:r w:rsidRPr="008121EB" w:rsidR="008121EB">
        <w:rPr>
          <w:lang w:val="en-NZ"/>
        </w:rPr>
        <w:t xml:space="preserve"> may request a donation from parents to provide funds for this purpose.</w:t>
      </w:r>
      <w:r w:rsidR="00C20EB0">
        <w:rPr>
          <w:lang w:val="en-NZ"/>
        </w:rPr>
        <w:t xml:space="preserve">  </w:t>
      </w:r>
      <w:r w:rsidRPr="008121EB" w:rsidR="008121EB">
        <w:rPr>
          <w:lang w:val="en-NZ"/>
        </w:rPr>
        <w:t xml:space="preserve">The amount and use of SCD will be reviewed annually by both parties. </w:t>
      </w:r>
      <w:r w:rsidR="00C20EB0">
        <w:rPr>
          <w:lang w:val="en-NZ"/>
        </w:rPr>
        <w:t xml:space="preserve">The school board </w:t>
      </w:r>
      <w:r w:rsidRPr="008121EB" w:rsidR="008121EB">
        <w:rPr>
          <w:lang w:val="en-NZ"/>
        </w:rPr>
        <w:t>will report at least annually on the use of the SCD to the Proprietor and parent community.</w:t>
      </w:r>
      <w:r w:rsidR="005430DC">
        <w:rPr>
          <w:lang w:val="en-NZ"/>
        </w:rPr>
        <w:t xml:space="preserve"> (</w:t>
      </w:r>
      <w:r w:rsidR="005430DC">
        <w:t>ETA Schedule 6, cl34).</w:t>
      </w:r>
      <w:r w:rsidR="008138DC">
        <w:t xml:space="preserve">  </w:t>
      </w:r>
      <w:r w:rsidRPr="008138DC" w:rsidR="008138DC">
        <w:rPr>
          <w:b/>
          <w:bCs/>
        </w:rPr>
        <w:t>Please</w:t>
      </w:r>
      <w:r w:rsidR="008138DC">
        <w:t xml:space="preserve"> </w:t>
      </w:r>
      <w:r w:rsidRPr="008138DC" w:rsidR="008138DC">
        <w:rPr>
          <w:b/>
          <w:bCs/>
        </w:rPr>
        <w:t>note</w:t>
      </w:r>
      <w:r w:rsidR="008138DC">
        <w:t>:</w:t>
      </w:r>
    </w:p>
    <w:p w:rsidR="008121EB" w:rsidP="008138DC" w:rsidRDefault="001657DB" w14:paraId="7AEF281B" w14:textId="46372093">
      <w:pPr>
        <w:pStyle w:val="ListParagraph"/>
        <w:numPr>
          <w:ilvl w:val="0"/>
          <w:numId w:val="34"/>
        </w:numPr>
        <w:rPr>
          <w:lang w:val="en-NZ"/>
        </w:rPr>
      </w:pPr>
      <w:r w:rsidRPr="008138DC">
        <w:rPr>
          <w:lang w:val="en-NZ"/>
        </w:rPr>
        <w:t xml:space="preserve">The </w:t>
      </w:r>
      <w:r w:rsidRPr="008138DC" w:rsidR="00012DA4">
        <w:rPr>
          <w:lang w:val="en-NZ"/>
        </w:rPr>
        <w:t xml:space="preserve">board </w:t>
      </w:r>
      <w:r w:rsidRPr="008138DC" w:rsidR="00947BB6">
        <w:rPr>
          <w:lang w:val="en-NZ"/>
        </w:rPr>
        <w:t>cannot</w:t>
      </w:r>
      <w:r w:rsidRPr="008138DC" w:rsidR="00012DA4">
        <w:rPr>
          <w:lang w:val="en-NZ"/>
        </w:rPr>
        <w:t xml:space="preserve"> use board donations for purposes that are the responsibility of the proprietor. </w:t>
      </w:r>
    </w:p>
    <w:p w:rsidRPr="00227432" w:rsidR="008138DC" w:rsidP="008138DC" w:rsidRDefault="008138DC" w14:paraId="74B4869D" w14:textId="2DCEAB67">
      <w:pPr>
        <w:pStyle w:val="ListParagraph"/>
        <w:numPr>
          <w:ilvl w:val="0"/>
          <w:numId w:val="34"/>
        </w:numPr>
        <w:rPr>
          <w:lang w:val="en-NZ"/>
        </w:rPr>
      </w:pPr>
      <w:r>
        <w:rPr>
          <w:lang w:val="en-NZ"/>
        </w:rPr>
        <w:t xml:space="preserve">If the proprietor requests the donation, the board must </w:t>
      </w:r>
      <w:r w:rsidRPr="00227432" w:rsidR="00227432">
        <w:t>forward all such donated monies to the proprietor to use for the purpose it was collected</w:t>
      </w:r>
      <w:r w:rsidRPr="00227432" w:rsidR="004A45F2">
        <w:rPr>
          <w:lang w:val="en-NZ"/>
        </w:rPr>
        <w:t>.</w:t>
      </w:r>
    </w:p>
    <w:p w:rsidR="007B58DF" w:rsidP="007D234A" w:rsidRDefault="00870673" w14:paraId="4BD02BB9" w14:textId="77777777">
      <w:pPr>
        <w:pStyle w:val="Heading2"/>
      </w:pPr>
      <w:bookmarkStart w:name="_Toc214449716" w:id="8"/>
      <w:r>
        <w:t>Staffing and Appointments</w:t>
      </w:r>
      <w:bookmarkEnd w:id="8"/>
    </w:p>
    <w:p w:rsidR="00690087" w:rsidP="007D234A" w:rsidRDefault="00690087" w14:paraId="00425052" w14:textId="4D52F516">
      <w:r>
        <w:t xml:space="preserve">The principal is employed by the school board. </w:t>
      </w:r>
    </w:p>
    <w:p w:rsidR="000B0AAA" w:rsidP="007D234A" w:rsidRDefault="00870673" w14:paraId="05DC8E0C" w14:textId="6F3C8835">
      <w:r>
        <w:t xml:space="preserve">Where staff are shared, the party with the </w:t>
      </w:r>
      <w:proofErr w:type="gramStart"/>
      <w:r>
        <w:t>majority share</w:t>
      </w:r>
      <w:proofErr w:type="gramEnd"/>
      <w:r>
        <w:t xml:space="preserve"> of service is the legal employer. Both parties will consult on job descriptions, appraisal, and leave approvals. </w:t>
      </w:r>
    </w:p>
    <w:p w:rsidR="007B58DF" w:rsidP="007D234A" w:rsidRDefault="00870673" w14:paraId="0C2A4887" w14:textId="7ED84D59">
      <w:r>
        <w:t xml:space="preserve">For </w:t>
      </w:r>
      <w:r w:rsidR="00AA0A26">
        <w:t>special character (</w:t>
      </w:r>
      <w:r>
        <w:t>tagged</w:t>
      </w:r>
      <w:r w:rsidR="00AA0A26">
        <w:t>)</w:t>
      </w:r>
      <w:r>
        <w:t xml:space="preserve"> positions and leadership appointments, the Proprietor must attest that the appointee</w:t>
      </w:r>
      <w:r w:rsidR="0042681E">
        <w:t xml:space="preserve"> is acceptable and will </w:t>
      </w:r>
      <w:r>
        <w:t>uphold the school’s special character. Principal appointments are co-constructed and require Proprietor concurrence</w:t>
      </w:r>
      <w:r w:rsidR="00AA0A26">
        <w:t xml:space="preserve"> for primary school, and via the proprietor appointee on the board or proprietor for a secondary school. </w:t>
      </w:r>
    </w:p>
    <w:p w:rsidR="007B58DF" w:rsidP="007D234A" w:rsidRDefault="00870673" w14:paraId="4D2D213C" w14:textId="77777777">
      <w:pPr>
        <w:pStyle w:val="Heading2"/>
      </w:pPr>
      <w:bookmarkStart w:name="_Toc214449717" w:id="9"/>
      <w:r>
        <w:t>Enrolment</w:t>
      </w:r>
      <w:bookmarkEnd w:id="9"/>
    </w:p>
    <w:p w:rsidR="007B58DF" w:rsidP="007D234A" w:rsidRDefault="00870673" w14:paraId="5760CB7E" w14:textId="628B6654">
      <w:r>
        <w:t xml:space="preserve">The Proprietor determines preference enrolment criteria. The Board manages enrolments within statutory limits and must report roll changes to the Proprietor within </w:t>
      </w:r>
      <w:r w:rsidR="00AA0A26">
        <w:t>X</w:t>
      </w:r>
      <w:r>
        <w:t xml:space="preserve"> weeks. Debtor ledgers are compared termly for attendance-due accuracy.</w:t>
      </w:r>
    </w:p>
    <w:p w:rsidR="00AA0A26" w:rsidP="007D234A" w:rsidRDefault="00AA0A26" w14:paraId="318101F6" w14:textId="1F67E27D">
      <w:r>
        <w:t xml:space="preserve">The board will not exceed the maximum roll as set out in the integration agreement. </w:t>
      </w:r>
      <w:r w:rsidRPr="004265A4" w:rsidR="004265A4">
        <w:t>The board will not exceed the non-preference roll number as set out in the integration agreement.</w:t>
      </w:r>
    </w:p>
    <w:p w:rsidR="00AA0A26" w:rsidP="007D234A" w:rsidRDefault="00AA0A26" w14:paraId="6197A859" w14:textId="1E3E70E3">
      <w:r>
        <w:t>Enrolment</w:t>
      </w:r>
      <w:r w:rsidR="008759E4">
        <w:t xml:space="preserve"> policies/</w:t>
      </w:r>
      <w:r>
        <w:t xml:space="preserve">schemes will be managed transparently, with regular reporting to the proprietor. </w:t>
      </w:r>
    </w:p>
    <w:p w:rsidR="007B58DF" w:rsidP="007D234A" w:rsidRDefault="00870673" w14:paraId="376B92AA" w14:textId="77777777">
      <w:pPr>
        <w:pStyle w:val="Heading2"/>
      </w:pPr>
      <w:bookmarkStart w:name="_Toc214449718" w:id="10"/>
      <w:r>
        <w:t>Financial Management</w:t>
      </w:r>
      <w:bookmarkEnd w:id="10"/>
    </w:p>
    <w:p w:rsidR="00710BAA" w:rsidP="007D234A" w:rsidRDefault="00870673" w14:paraId="3E03EDA7" w14:textId="77777777">
      <w:r>
        <w:t xml:space="preserve">Financial transactions between the parties must follow </w:t>
      </w:r>
      <w:r w:rsidR="00710BAA">
        <w:t xml:space="preserve">agreed </w:t>
      </w:r>
      <w:r>
        <w:t xml:space="preserve">formal invoicing. Neither party may incur obligations on behalf of the other. </w:t>
      </w:r>
    </w:p>
    <w:p w:rsidR="00710BAA" w:rsidP="007D234A" w:rsidRDefault="00870673" w14:paraId="7DF4E724" w14:textId="76447967">
      <w:r>
        <w:t xml:space="preserve">The Proprietor </w:t>
      </w:r>
      <w:r w:rsidR="00710BAA">
        <w:t xml:space="preserve">manages </w:t>
      </w:r>
      <w:r w:rsidRPr="00244026" w:rsidR="00710BAA">
        <w:rPr>
          <w:b/>
          <w:bCs/>
        </w:rPr>
        <w:t>attendance dues</w:t>
      </w:r>
      <w:r w:rsidR="00710BAA">
        <w:t xml:space="preserve"> and </w:t>
      </w:r>
      <w:r>
        <w:t>consults with the Board on levels and applies dues under the Education and Training Act 2020</w:t>
      </w:r>
      <w:r w:rsidR="003F188F">
        <w:t xml:space="preserve">, cl </w:t>
      </w:r>
      <w:r w:rsidR="00E04E5D">
        <w:t>30</w:t>
      </w:r>
      <w:r>
        <w:t xml:space="preserve">. </w:t>
      </w:r>
    </w:p>
    <w:p w:rsidR="00703B0F" w:rsidP="007D234A" w:rsidRDefault="00870673" w14:paraId="1727CB99" w14:textId="72D8E93F">
      <w:r>
        <w:t xml:space="preserve">Both parties may collect </w:t>
      </w:r>
      <w:r w:rsidRPr="00244026">
        <w:rPr>
          <w:b/>
          <w:bCs/>
        </w:rPr>
        <w:t>Special Character Donations</w:t>
      </w:r>
      <w:r>
        <w:t xml:space="preserve"> and report annually. Fundraising for capital assets will be held in the Proprietor’s name</w:t>
      </w:r>
      <w:r w:rsidR="00606DDE">
        <w:t xml:space="preserve"> and paid into proprietor account</w:t>
      </w:r>
      <w:r>
        <w:t xml:space="preserve">. </w:t>
      </w:r>
      <w:r w:rsidR="00606DDE">
        <w:t xml:space="preserve">The proprietor will keep accounting records. </w:t>
      </w:r>
    </w:p>
    <w:p w:rsidR="00710BAA" w:rsidP="007D234A" w:rsidRDefault="00870673" w14:paraId="60CAF202" w14:textId="2305120D">
      <w:r>
        <w:t xml:space="preserve">The Proprietor manages </w:t>
      </w:r>
      <w:r w:rsidRPr="00244026">
        <w:rPr>
          <w:b/>
          <w:bCs/>
        </w:rPr>
        <w:t>Policy 1 funding</w:t>
      </w:r>
      <w:r w:rsidR="003B1A46">
        <w:t>.  T</w:t>
      </w:r>
      <w:r w:rsidR="00284405">
        <w:t>he board property committee submits re</w:t>
      </w:r>
      <w:r w:rsidR="00701F85">
        <w:t xml:space="preserve">quests to the proprietor </w:t>
      </w:r>
      <w:r>
        <w:t xml:space="preserve">annually with the Board priorities. </w:t>
      </w:r>
      <w:r w:rsidR="00D85462">
        <w:t xml:space="preserve">The proprietor will report annually on Policy 1 spending. </w:t>
      </w:r>
    </w:p>
    <w:p w:rsidR="006463DC" w:rsidP="007D234A" w:rsidRDefault="0075746F" w14:paraId="1DD2216A" w14:textId="2A4BAA5E">
      <w:r w:rsidRPr="00244026">
        <w:rPr>
          <w:b/>
          <w:bCs/>
        </w:rPr>
        <w:t>Insurance</w:t>
      </w:r>
      <w:r w:rsidRPr="00244026" w:rsidR="009D5D5D">
        <w:rPr>
          <w:b/>
          <w:bCs/>
        </w:rPr>
        <w:t>:</w:t>
      </w:r>
      <w:r w:rsidR="009D5D5D">
        <w:t xml:space="preserve"> both parties will s</w:t>
      </w:r>
      <w:r w:rsidRPr="0075746F">
        <w:t xml:space="preserve">hare insurer details </w:t>
      </w:r>
      <w:proofErr w:type="gramStart"/>
      <w:r w:rsidRPr="0075746F">
        <w:t>annually;</w:t>
      </w:r>
      <w:proofErr w:type="gramEnd"/>
      <w:r w:rsidRPr="0075746F">
        <w:t xml:space="preserve"> </w:t>
      </w:r>
      <w:r w:rsidR="009D5D5D">
        <w:t xml:space="preserve">and </w:t>
      </w:r>
      <w:r w:rsidRPr="0075746F">
        <w:t>clarify liability for joint claims</w:t>
      </w:r>
      <w:r w:rsidR="009D5D5D">
        <w:t>.  The proprietor is responsible for insu</w:t>
      </w:r>
      <w:r w:rsidR="00244026">
        <w:t xml:space="preserve">ring school </w:t>
      </w:r>
      <w:r w:rsidR="009F5F4B">
        <w:t>buildings</w:t>
      </w:r>
      <w:r w:rsidR="00844CF2">
        <w:t xml:space="preserve">, </w:t>
      </w:r>
      <w:r w:rsidR="00990598">
        <w:t>propr</w:t>
      </w:r>
      <w:r w:rsidR="00B568FF">
        <w:t xml:space="preserve">ietor-owned </w:t>
      </w:r>
      <w:r w:rsidR="00844CF2">
        <w:t xml:space="preserve">chattels and </w:t>
      </w:r>
      <w:r w:rsidR="00B568FF">
        <w:t xml:space="preserve">other </w:t>
      </w:r>
      <w:r w:rsidR="00844CF2">
        <w:t xml:space="preserve">assets owned by the </w:t>
      </w:r>
      <w:r w:rsidR="00244026">
        <w:t>prop</w:t>
      </w:r>
      <w:r w:rsidR="006325FE">
        <w:t>rie</w:t>
      </w:r>
      <w:r w:rsidR="00244026">
        <w:t>t</w:t>
      </w:r>
      <w:r w:rsidR="006325FE">
        <w:t>or</w:t>
      </w:r>
      <w:r w:rsidR="00244026">
        <w:t xml:space="preserve">.  </w:t>
      </w:r>
      <w:r w:rsidRPr="0075746F">
        <w:tab/>
      </w:r>
    </w:p>
    <w:p w:rsidR="000C221C" w:rsidP="007D234A" w:rsidRDefault="00870673" w14:paraId="394194EC" w14:textId="23FAF9C7">
      <w:r>
        <w:t xml:space="preserve">For </w:t>
      </w:r>
      <w:r w:rsidRPr="00244026">
        <w:rPr>
          <w:b/>
          <w:bCs/>
        </w:rPr>
        <w:t>international students</w:t>
      </w:r>
      <w:r>
        <w:t xml:space="preserve">, the Board </w:t>
      </w:r>
      <w:r w:rsidR="001172CC">
        <w:t xml:space="preserve">collects </w:t>
      </w:r>
      <w:proofErr w:type="gramStart"/>
      <w:r w:rsidR="001172CC">
        <w:t>attendance dues</w:t>
      </w:r>
      <w:proofErr w:type="gramEnd"/>
      <w:r w:rsidR="001172CC">
        <w:t xml:space="preserve"> </w:t>
      </w:r>
      <w:proofErr w:type="gramStart"/>
      <w:r w:rsidR="001172CC">
        <w:t xml:space="preserve">payments </w:t>
      </w:r>
      <w:r w:rsidRPr="00203966" w:rsidR="00203966">
        <w:t>dues</w:t>
      </w:r>
      <w:proofErr w:type="gramEnd"/>
      <w:r w:rsidRPr="00203966" w:rsidR="00203966">
        <w:t xml:space="preserve"> on behalf of the proprietor and forwards this to the proprietor in a timely manner</w:t>
      </w:r>
      <w:r w:rsidR="000C221C">
        <w:t>.</w:t>
      </w:r>
      <w:r w:rsidRPr="00203966" w:rsidR="00203966">
        <w:t xml:space="preserve"> </w:t>
      </w:r>
    </w:p>
    <w:p w:rsidR="00710BAA" w:rsidP="007D234A" w:rsidRDefault="00710BAA" w14:paraId="4943C629" w14:textId="575A2B72">
      <w:r>
        <w:t xml:space="preserve">Both parties agree to exchange relevant financial information </w:t>
      </w:r>
      <w:r w:rsidR="0058788A">
        <w:t>annually</w:t>
      </w:r>
      <w:r>
        <w:t xml:space="preserve"> to ensure transparency. </w:t>
      </w:r>
    </w:p>
    <w:p w:rsidR="007B58DF" w:rsidP="007D234A" w:rsidRDefault="00870673" w14:paraId="052B820D" w14:textId="77777777">
      <w:pPr>
        <w:pStyle w:val="Heading2"/>
      </w:pPr>
      <w:bookmarkStart w:name="_Toc214449719" w:id="11"/>
      <w:r>
        <w:t>Health &amp; Safety / Wellbeing</w:t>
      </w:r>
      <w:bookmarkEnd w:id="11"/>
    </w:p>
    <w:p w:rsidR="007B58DF" w:rsidP="007D234A" w:rsidRDefault="00870673" w14:paraId="7128D9C0" w14:textId="77777777">
      <w:r>
        <w:t>Both parties share responsibility for ensuring that all facilities and activities meet Health and Safety at Work Act 2015 standards. Emergency procedures and risk management will be coordinated annually.</w:t>
      </w:r>
    </w:p>
    <w:p w:rsidR="007B58DF" w:rsidP="00D95C79" w:rsidRDefault="00870673" w14:paraId="4736A152" w14:textId="77777777">
      <w:pPr>
        <w:pStyle w:val="Heading1"/>
      </w:pPr>
      <w:bookmarkStart w:name="_Toc214449720" w:id="12"/>
      <w:r>
        <w:t>Communication Protocols</w:t>
      </w:r>
      <w:bookmarkEnd w:id="12"/>
    </w:p>
    <w:p w:rsidR="007B58DF" w:rsidP="007D234A" w:rsidRDefault="00870673" w14:paraId="15D7A953" w14:textId="6FE5D1EC">
      <w:r w:rsidRPr="19BDCE82" w:rsidR="19BDCE82">
        <w:rPr>
          <w:highlight w:val="yellow"/>
        </w:rPr>
        <w:t>Regular liaison meetings will occur at least once per term</w:t>
      </w:r>
      <w:r w:rsidRPr="19BDCE82" w:rsidR="19BDCE82">
        <w:rPr>
          <w:highlight w:val="yellow"/>
        </w:rPr>
        <w:t xml:space="preserve"> between the board presiding member and proprietor chair</w:t>
      </w:r>
      <w:r w:rsidRPr="19BDCE82" w:rsidR="19BDCE82">
        <w:rPr>
          <w:highlight w:val="yellow"/>
        </w:rPr>
        <w:t xml:space="preserve">, with one annual joint planning session covering </w:t>
      </w:r>
      <w:r w:rsidRPr="19BDCE82" w:rsidR="19BDCE82">
        <w:rPr>
          <w:highlight w:val="yellow"/>
        </w:rPr>
        <w:t>roll</w:t>
      </w:r>
      <w:r w:rsidRPr="19BDCE82" w:rsidR="19BDCE82">
        <w:rPr>
          <w:highlight w:val="yellow"/>
        </w:rPr>
        <w:t>, staffing, property, and special character.</w:t>
      </w:r>
      <w:r w:rsidR="19BDCE82">
        <w:rPr/>
        <w:t xml:space="preserve"> Both parties will consult prior to media or public statements that may materially affect the other.</w:t>
      </w:r>
      <w:r w:rsidR="19BDCE82">
        <w:rPr/>
        <w:t xml:space="preserve">  Both parties commit to providing timely information on decisions affecting each other. </w:t>
      </w:r>
    </w:p>
    <w:p w:rsidR="007B58DF" w:rsidP="00D95C79" w:rsidRDefault="00870673" w14:paraId="0D878329" w14:textId="77777777">
      <w:pPr>
        <w:pStyle w:val="Heading1"/>
      </w:pPr>
      <w:bookmarkStart w:name="_Toc214449721" w:id="13"/>
      <w:r>
        <w:t>Dispute Resolution</w:t>
      </w:r>
      <w:bookmarkEnd w:id="13"/>
    </w:p>
    <w:p w:rsidR="00710BAA" w:rsidP="007D234A" w:rsidRDefault="00710BAA" w14:paraId="055E2C00" w14:textId="0E9E0734">
      <w:r>
        <w:t xml:space="preserve">Both parties will </w:t>
      </w:r>
      <w:r w:rsidR="00840B01">
        <w:t>agree to</w:t>
      </w:r>
      <w:r>
        <w:t xml:space="preserve"> a dispute resolution process to be reviewed every three years. </w:t>
      </w:r>
    </w:p>
    <w:p w:rsidR="007B58DF" w:rsidP="007D234A" w:rsidRDefault="00870673" w14:paraId="22BF839A" w14:textId="1B234489">
      <w:r>
        <w:t>If a dispute arises, the party concerned will provide written particulars to the other. Both will meet in good faith to resolve the matter</w:t>
      </w:r>
      <w:r w:rsidR="00710BAA">
        <w:t xml:space="preserve"> as per the agreed process</w:t>
      </w:r>
      <w:r>
        <w:t xml:space="preserve">. If unresolved, it may be referred to </w:t>
      </w:r>
      <w:r w:rsidR="00710BAA">
        <w:t xml:space="preserve">a </w:t>
      </w:r>
      <w:r>
        <w:t xml:space="preserve">mediation </w:t>
      </w:r>
      <w:r w:rsidR="00710BAA">
        <w:t xml:space="preserve">process or </w:t>
      </w:r>
      <w:proofErr w:type="gramStart"/>
      <w:r w:rsidR="00710BAA">
        <w:t>seek</w:t>
      </w:r>
      <w:proofErr w:type="gramEnd"/>
      <w:r w:rsidR="00710BAA">
        <w:t xml:space="preserve"> assistance </w:t>
      </w:r>
      <w:r>
        <w:t>through APIS or the Ministry of Education.</w:t>
      </w:r>
    </w:p>
    <w:p w:rsidR="007B58DF" w:rsidP="00D95C79" w:rsidRDefault="00870673" w14:paraId="28287E44" w14:textId="77777777">
      <w:pPr>
        <w:pStyle w:val="Heading1"/>
      </w:pPr>
      <w:bookmarkStart w:name="_Toc214449722" w:id="14"/>
      <w:r>
        <w:t>Term and Review</w:t>
      </w:r>
      <w:bookmarkEnd w:id="14"/>
    </w:p>
    <w:p w:rsidR="007B58DF" w:rsidP="007D234A" w:rsidRDefault="00870673" w14:paraId="3480CFF2" w14:textId="77777777">
      <w:r w:rsidRPr="19BDCE82" w:rsidR="19BDCE82">
        <w:rPr>
          <w:highlight w:val="yellow"/>
        </w:rPr>
        <w:t>This MOU takes effect from [date] and</w:t>
      </w:r>
      <w:r w:rsidR="19BDCE82">
        <w:rPr/>
        <w:t xml:space="preserve"> remains valid for three years unless reviewed earlier by mutual agreement. A review will occur alongside the tri-annual Special Character Review commissioned by the Proprietor.</w:t>
      </w:r>
    </w:p>
    <w:p w:rsidR="007B58DF" w:rsidP="00D95C79" w:rsidRDefault="00870673" w14:paraId="4CB63734" w14:textId="77777777">
      <w:pPr>
        <w:pStyle w:val="Heading1"/>
      </w:pPr>
      <w:bookmarkStart w:name="_Toc214449723" w:id="15"/>
      <w:r>
        <w:t>Execution</w:t>
      </w:r>
      <w:bookmarkEnd w:id="15"/>
    </w:p>
    <w:p w:rsidR="007B58DF" w:rsidP="007D234A" w:rsidRDefault="00870673" w14:paraId="057099E4" w14:textId="77777777">
      <w:r>
        <w:t>Signed on behalf of the School Board:</w:t>
      </w:r>
    </w:p>
    <w:p w:rsidR="007B58DF" w:rsidP="007D234A" w:rsidRDefault="00870673" w14:paraId="4BCC64B1" w14:textId="77777777">
      <w:r>
        <w:t>Name: ____________________    Position: ____________________    Date: ____________________</w:t>
      </w:r>
    </w:p>
    <w:p w:rsidR="007B58DF" w:rsidP="007D234A" w:rsidRDefault="00870673" w14:paraId="7B3FC239" w14:textId="0F6B376C">
      <w:r>
        <w:t>Signed on behalf of the Proprietor</w:t>
      </w:r>
      <w:r w:rsidR="006429B6">
        <w:t xml:space="preserve"> board</w:t>
      </w:r>
      <w:r>
        <w:t>:</w:t>
      </w:r>
    </w:p>
    <w:p w:rsidR="007B58DF" w:rsidP="007D234A" w:rsidRDefault="00870673" w14:paraId="580B0270" w14:textId="77777777">
      <w:r>
        <w:t>Name: ____________________    Position: ____________________    Date: ____________________</w:t>
      </w:r>
    </w:p>
    <w:p w:rsidR="007B58DF" w:rsidP="007D234A" w:rsidRDefault="00870673" w14:paraId="396954BC" w14:textId="77777777">
      <w:r>
        <w:br w:type="page"/>
      </w:r>
    </w:p>
    <w:p w:rsidRPr="00D95C79" w:rsidR="00D17696" w:rsidP="00D95C79" w:rsidRDefault="00D17696" w14:paraId="2D572CB7" w14:textId="77777777">
      <w:pPr>
        <w:pStyle w:val="Heading1"/>
      </w:pPr>
      <w:bookmarkStart w:name="_Toc212127269" w:id="16"/>
      <w:bookmarkStart w:name="_Toc214449724" w:id="17"/>
      <w:r w:rsidRPr="00D95C79">
        <w:t>Appendices Overview</w:t>
      </w:r>
      <w:bookmarkEnd w:id="16"/>
      <w:bookmarkEnd w:id="17"/>
    </w:p>
    <w:p w:rsidR="00D17696" w:rsidP="007D234A" w:rsidRDefault="00D17696" w14:paraId="045B300A" w14:textId="77777777">
      <w:r>
        <w:t>This section provides a summary of the appendices included in this Memorandum of Understanding:</w:t>
      </w:r>
    </w:p>
    <w:tbl>
      <w:tblPr>
        <w:tblStyle w:val="GridTable5Dark-Accent21"/>
        <w:tblW w:w="0" w:type="auto"/>
        <w:tblLook w:val="04A0" w:firstRow="1" w:lastRow="0" w:firstColumn="1" w:lastColumn="0" w:noHBand="0" w:noVBand="1"/>
      </w:tblPr>
      <w:tblGrid>
        <w:gridCol w:w="1975"/>
        <w:gridCol w:w="6655"/>
      </w:tblGrid>
      <w:tr w:rsidRPr="00C54EA5" w:rsidR="00D95C79" w:rsidTr="00C54EA5" w14:paraId="099EBDA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rsidRPr="00C54EA5" w:rsidR="00D95C79" w:rsidP="00D95C79" w:rsidRDefault="00C54EA5" w14:paraId="15F06FD0" w14:textId="19E83B48">
            <w:pPr>
              <w:ind w:left="360"/>
              <w:rPr>
                <w:b w:val="0"/>
                <w:bCs w:val="0"/>
              </w:rPr>
            </w:pPr>
            <w:r w:rsidRPr="00C54EA5">
              <w:rPr>
                <w:b w:val="0"/>
                <w:bCs w:val="0"/>
              </w:rPr>
              <w:t>APPENDIX</w:t>
            </w:r>
          </w:p>
        </w:tc>
        <w:tc>
          <w:tcPr>
            <w:tcW w:w="6655" w:type="dxa"/>
          </w:tcPr>
          <w:p w:rsidRPr="00C54EA5" w:rsidR="00D95C79" w:rsidP="00D95C79" w:rsidRDefault="00C54EA5" w14:paraId="43FE30B1" w14:textId="55836579">
            <w:pPr>
              <w:ind w:left="360"/>
              <w:cnfStyle w:val="100000000000" w:firstRow="1" w:lastRow="0" w:firstColumn="0" w:lastColumn="0" w:oddVBand="0" w:evenVBand="0" w:oddHBand="0" w:evenHBand="0" w:firstRowFirstColumn="0" w:firstRowLastColumn="0" w:lastRowFirstColumn="0" w:lastRowLastColumn="0"/>
              <w:rPr>
                <w:b w:val="0"/>
                <w:bCs w:val="0"/>
              </w:rPr>
            </w:pPr>
            <w:r w:rsidRPr="00C54EA5">
              <w:rPr>
                <w:b w:val="0"/>
                <w:bCs w:val="0"/>
              </w:rPr>
              <w:t>TOPIC</w:t>
            </w:r>
          </w:p>
        </w:tc>
      </w:tr>
      <w:tr w:rsidRPr="00D95C79" w:rsidR="00D95C79" w:rsidTr="00C54EA5" w14:paraId="27EE0A3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rsidRPr="00D95C79" w:rsidR="00D95C79" w:rsidP="00D95C79" w:rsidRDefault="00D95C79" w14:paraId="29DDC6B2" w14:textId="39780FF9">
            <w:pPr>
              <w:ind w:left="360"/>
            </w:pPr>
            <w:r w:rsidRPr="00D95C79">
              <w:rPr>
                <w:b w:val="0"/>
                <w:bCs w:val="0"/>
              </w:rPr>
              <w:t>Appendix A</w:t>
            </w:r>
            <w:r w:rsidRPr="00D95C79">
              <w:t xml:space="preserve"> </w:t>
            </w:r>
          </w:p>
        </w:tc>
        <w:tc>
          <w:tcPr>
            <w:tcW w:w="6655" w:type="dxa"/>
          </w:tcPr>
          <w:p w:rsidRPr="00D95C79" w:rsidR="00D95C79" w:rsidP="00D95C79" w:rsidRDefault="00D95C79" w14:paraId="3C1C6225" w14:textId="5F2D80CB">
            <w:pPr>
              <w:ind w:left="360"/>
              <w:cnfStyle w:val="000000100000" w:firstRow="0" w:lastRow="0" w:firstColumn="0" w:lastColumn="0" w:oddVBand="0" w:evenVBand="0" w:oddHBand="1" w:evenHBand="0" w:firstRowFirstColumn="0" w:firstRowLastColumn="0" w:lastRowFirstColumn="0" w:lastRowLastColumn="0"/>
            </w:pPr>
            <w:r w:rsidRPr="00D95C79">
              <w:rPr>
                <w:b/>
                <w:bCs/>
              </w:rPr>
              <w:t>Summary of Common Pressure Points</w:t>
            </w:r>
            <w:r w:rsidRPr="00D95C79">
              <w:t>: Identifies recurring issues and best practice approaches for resolution.</w:t>
            </w:r>
          </w:p>
        </w:tc>
      </w:tr>
      <w:tr w:rsidRPr="00D95C79" w:rsidR="00D95C79" w:rsidTr="00C54EA5" w14:paraId="372135B0" w14:textId="77777777">
        <w:tc>
          <w:tcPr>
            <w:cnfStyle w:val="001000000000" w:firstRow="0" w:lastRow="0" w:firstColumn="1" w:lastColumn="0" w:oddVBand="0" w:evenVBand="0" w:oddHBand="0" w:evenHBand="0" w:firstRowFirstColumn="0" w:firstRowLastColumn="0" w:lastRowFirstColumn="0" w:lastRowLastColumn="0"/>
            <w:tcW w:w="1975" w:type="dxa"/>
          </w:tcPr>
          <w:p w:rsidRPr="00D95C79" w:rsidR="00D95C79" w:rsidP="00D95C79" w:rsidRDefault="00D95C79" w14:paraId="720AEBF2" w14:textId="060909F4">
            <w:pPr>
              <w:ind w:left="360"/>
            </w:pPr>
            <w:r w:rsidRPr="00D95C79">
              <w:rPr>
                <w:b w:val="0"/>
                <w:bCs w:val="0"/>
              </w:rPr>
              <w:t>Appendix B</w:t>
            </w:r>
          </w:p>
        </w:tc>
        <w:tc>
          <w:tcPr>
            <w:tcW w:w="6655" w:type="dxa"/>
          </w:tcPr>
          <w:p w:rsidRPr="00D95C79" w:rsidR="00D95C79" w:rsidP="00D95C79" w:rsidRDefault="00D95C79" w14:paraId="280A8872" w14:textId="3691AD00">
            <w:pPr>
              <w:ind w:left="360"/>
              <w:cnfStyle w:val="000000000000" w:firstRow="0" w:lastRow="0" w:firstColumn="0" w:lastColumn="0" w:oddVBand="0" w:evenVBand="0" w:oddHBand="0" w:evenHBand="0" w:firstRowFirstColumn="0" w:firstRowLastColumn="0" w:lastRowFirstColumn="0" w:lastRowLastColumn="0"/>
            </w:pPr>
            <w:r w:rsidRPr="00D95C79">
              <w:rPr>
                <w:b/>
                <w:bCs/>
              </w:rPr>
              <w:t>Financial and Property Processes</w:t>
            </w:r>
            <w:r w:rsidRPr="00D95C79">
              <w:t>: Details joint processes for funding, maintenance, and financial accountability.</w:t>
            </w:r>
          </w:p>
        </w:tc>
      </w:tr>
      <w:tr w:rsidRPr="00D95C79" w:rsidR="00D95C79" w:rsidTr="00C54EA5" w14:paraId="34C3423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rsidRPr="00D95C79" w:rsidR="00D95C79" w:rsidP="00D95C79" w:rsidRDefault="00D95C79" w14:paraId="0BD8D146" w14:textId="7BC4E345">
            <w:pPr>
              <w:ind w:left="360"/>
              <w:rPr>
                <w:b w:val="0"/>
                <w:bCs w:val="0"/>
              </w:rPr>
            </w:pPr>
            <w:r w:rsidRPr="00D95C79">
              <w:rPr>
                <w:b w:val="0"/>
                <w:bCs w:val="0"/>
              </w:rPr>
              <w:t>Appendix C</w:t>
            </w:r>
          </w:p>
        </w:tc>
        <w:tc>
          <w:tcPr>
            <w:tcW w:w="6655" w:type="dxa"/>
          </w:tcPr>
          <w:p w:rsidRPr="00D95C79" w:rsidR="00D95C79" w:rsidP="00D95C79" w:rsidRDefault="00D95C79" w14:paraId="17E12E8B" w14:textId="7B1ED45E">
            <w:pPr>
              <w:ind w:left="360"/>
              <w:cnfStyle w:val="000000100000" w:firstRow="0" w:lastRow="0" w:firstColumn="0" w:lastColumn="0" w:oddVBand="0" w:evenVBand="0" w:oddHBand="1" w:evenHBand="0" w:firstRowFirstColumn="0" w:firstRowLastColumn="0" w:lastRowFirstColumn="0" w:lastRowLastColumn="0"/>
              <w:rPr>
                <w:b/>
                <w:bCs/>
              </w:rPr>
            </w:pPr>
            <w:r w:rsidRPr="00D95C79">
              <w:rPr>
                <w:b/>
                <w:bCs/>
              </w:rPr>
              <w:t>Special Character Guidelines Summary</w:t>
            </w:r>
            <w:r w:rsidRPr="00D95C79">
              <w:t>: Outlines how the school’s special character is safeguarded and reviewed.</w:t>
            </w:r>
          </w:p>
        </w:tc>
      </w:tr>
      <w:tr w:rsidRPr="00D95C79" w:rsidR="00D95C79" w:rsidTr="00C54EA5" w14:paraId="0EA21632" w14:textId="77777777">
        <w:tc>
          <w:tcPr>
            <w:cnfStyle w:val="001000000000" w:firstRow="0" w:lastRow="0" w:firstColumn="1" w:lastColumn="0" w:oddVBand="0" w:evenVBand="0" w:oddHBand="0" w:evenHBand="0" w:firstRowFirstColumn="0" w:firstRowLastColumn="0" w:lastRowFirstColumn="0" w:lastRowLastColumn="0"/>
            <w:tcW w:w="1975" w:type="dxa"/>
          </w:tcPr>
          <w:p w:rsidRPr="00D95C79" w:rsidR="00D95C79" w:rsidP="00D95C79" w:rsidRDefault="00D95C79" w14:paraId="62A0D505" w14:textId="4CEB11C1">
            <w:pPr>
              <w:ind w:left="360"/>
              <w:rPr>
                <w:b w:val="0"/>
                <w:bCs w:val="0"/>
              </w:rPr>
            </w:pPr>
            <w:r w:rsidRPr="00D95C79">
              <w:rPr>
                <w:b w:val="0"/>
                <w:bCs w:val="0"/>
              </w:rPr>
              <w:t>Appendix D</w:t>
            </w:r>
          </w:p>
        </w:tc>
        <w:tc>
          <w:tcPr>
            <w:tcW w:w="6655" w:type="dxa"/>
          </w:tcPr>
          <w:p w:rsidRPr="00D95C79" w:rsidR="00D95C79" w:rsidP="00D95C79" w:rsidRDefault="00D95C79" w14:paraId="4F190A04" w14:textId="56C6D1E7">
            <w:pPr>
              <w:ind w:left="360"/>
              <w:cnfStyle w:val="000000000000" w:firstRow="0" w:lastRow="0" w:firstColumn="0" w:lastColumn="0" w:oddVBand="0" w:evenVBand="0" w:oddHBand="0" w:evenHBand="0" w:firstRowFirstColumn="0" w:firstRowLastColumn="0" w:lastRowFirstColumn="0" w:lastRowLastColumn="0"/>
              <w:rPr>
                <w:b/>
                <w:bCs/>
              </w:rPr>
            </w:pPr>
            <w:r w:rsidRPr="00D95C79">
              <w:rPr>
                <w:b/>
                <w:bCs/>
              </w:rPr>
              <w:t>Communication and Consultation Checklist</w:t>
            </w:r>
            <w:r w:rsidRPr="00D95C79">
              <w:t>: Sets expectations for regular engagement and dispute resolution.</w:t>
            </w:r>
          </w:p>
        </w:tc>
      </w:tr>
      <w:tr w:rsidRPr="00D95C79" w:rsidR="00D95C79" w:rsidTr="00C54EA5" w14:paraId="4818634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rsidRPr="00D95C79" w:rsidR="00D95C79" w:rsidP="00D95C79" w:rsidRDefault="00D95C79" w14:paraId="785F0092" w14:textId="5B46B370">
            <w:pPr>
              <w:ind w:left="360"/>
              <w:rPr>
                <w:b w:val="0"/>
                <w:bCs w:val="0"/>
              </w:rPr>
            </w:pPr>
            <w:r w:rsidRPr="00D95C79">
              <w:rPr>
                <w:b w:val="0"/>
                <w:bCs w:val="0"/>
              </w:rPr>
              <w:t xml:space="preserve">Appendix E </w:t>
            </w:r>
          </w:p>
        </w:tc>
        <w:tc>
          <w:tcPr>
            <w:tcW w:w="6655" w:type="dxa"/>
          </w:tcPr>
          <w:p w:rsidRPr="00D95C79" w:rsidR="00D95C79" w:rsidP="00D95C79" w:rsidRDefault="00D95C79" w14:paraId="6FA5D63A" w14:textId="30AEA70C">
            <w:pPr>
              <w:ind w:left="360"/>
              <w:cnfStyle w:val="000000100000" w:firstRow="0" w:lastRow="0" w:firstColumn="0" w:lastColumn="0" w:oddVBand="0" w:evenVBand="0" w:oddHBand="1" w:evenHBand="0" w:firstRowFirstColumn="0" w:firstRowLastColumn="0" w:lastRowFirstColumn="0" w:lastRowLastColumn="0"/>
              <w:rPr>
                <w:b/>
                <w:bCs/>
              </w:rPr>
            </w:pPr>
            <w:r w:rsidRPr="00D95C79">
              <w:rPr>
                <w:b/>
                <w:bCs/>
              </w:rPr>
              <w:t>Governance and Legislative References</w:t>
            </w:r>
            <w:r w:rsidRPr="00D95C79">
              <w:t>: Lists the key legislative and policy documents underpinning this MOU</w:t>
            </w:r>
          </w:p>
        </w:tc>
      </w:tr>
      <w:tr w:rsidRPr="00D95C79" w:rsidR="00D95C79" w:rsidTr="00C54EA5" w14:paraId="3C004705" w14:textId="77777777">
        <w:tc>
          <w:tcPr>
            <w:cnfStyle w:val="001000000000" w:firstRow="0" w:lastRow="0" w:firstColumn="1" w:lastColumn="0" w:oddVBand="0" w:evenVBand="0" w:oddHBand="0" w:evenHBand="0" w:firstRowFirstColumn="0" w:firstRowLastColumn="0" w:lastRowFirstColumn="0" w:lastRowLastColumn="0"/>
            <w:tcW w:w="1975" w:type="dxa"/>
          </w:tcPr>
          <w:p w:rsidRPr="00D95C79" w:rsidR="00D95C79" w:rsidP="00D95C79" w:rsidRDefault="00D95C79" w14:paraId="32DC616B" w14:textId="4109865C">
            <w:pPr>
              <w:ind w:left="360"/>
              <w:rPr>
                <w:b w:val="0"/>
                <w:bCs w:val="0"/>
              </w:rPr>
            </w:pPr>
            <w:r w:rsidRPr="00D95C79">
              <w:rPr>
                <w:b w:val="0"/>
                <w:bCs w:val="0"/>
              </w:rPr>
              <w:t>Appendix F</w:t>
            </w:r>
            <w:r w:rsidRPr="00D95C79">
              <w:t xml:space="preserve"> </w:t>
            </w:r>
          </w:p>
        </w:tc>
        <w:tc>
          <w:tcPr>
            <w:tcW w:w="6655" w:type="dxa"/>
          </w:tcPr>
          <w:p w:rsidRPr="00D95C79" w:rsidR="00D95C79" w:rsidP="00D95C79" w:rsidRDefault="00D95C79" w14:paraId="4B920616" w14:textId="21F94FAC">
            <w:pPr>
              <w:ind w:left="360"/>
              <w:cnfStyle w:val="000000000000" w:firstRow="0" w:lastRow="0" w:firstColumn="0" w:lastColumn="0" w:oddVBand="0" w:evenVBand="0" w:oddHBand="0" w:evenHBand="0" w:firstRowFirstColumn="0" w:firstRowLastColumn="0" w:lastRowFirstColumn="0" w:lastRowLastColumn="0"/>
              <w:rPr>
                <w:b/>
                <w:bCs/>
              </w:rPr>
            </w:pPr>
            <w:r w:rsidRPr="00D95C79">
              <w:rPr>
                <w:b/>
                <w:bCs/>
              </w:rPr>
              <w:t>Annual Governance Calendar</w:t>
            </w:r>
            <w:r w:rsidR="00C54EA5">
              <w:rPr>
                <w:b/>
                <w:bCs/>
              </w:rPr>
              <w:t xml:space="preserve">: </w:t>
            </w:r>
            <w:r w:rsidRPr="00D17696" w:rsidR="00C54EA5">
              <w:t>sample annual governance calendar</w:t>
            </w:r>
          </w:p>
        </w:tc>
      </w:tr>
      <w:tr w:rsidRPr="00D95C79" w:rsidR="00D95C79" w:rsidTr="00C54EA5" w14:paraId="373E1FF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rsidRPr="00D95C79" w:rsidR="00D95C79" w:rsidP="00D95C79" w:rsidRDefault="00D95C79" w14:paraId="2442B43D" w14:textId="5E457831">
            <w:pPr>
              <w:ind w:left="360"/>
              <w:rPr>
                <w:b w:val="0"/>
                <w:bCs w:val="0"/>
              </w:rPr>
            </w:pPr>
            <w:r w:rsidRPr="00D95C79">
              <w:rPr>
                <w:b w:val="0"/>
                <w:bCs w:val="0"/>
              </w:rPr>
              <w:t>Appendix G</w:t>
            </w:r>
          </w:p>
        </w:tc>
        <w:tc>
          <w:tcPr>
            <w:tcW w:w="6655" w:type="dxa"/>
          </w:tcPr>
          <w:p w:rsidRPr="00D95C79" w:rsidR="00D95C79" w:rsidP="00D95C79" w:rsidRDefault="00D95C79" w14:paraId="2E09563D" w14:textId="6C6B3403">
            <w:pPr>
              <w:ind w:left="360"/>
              <w:cnfStyle w:val="000000100000" w:firstRow="0" w:lastRow="0" w:firstColumn="0" w:lastColumn="0" w:oddVBand="0" w:evenVBand="0" w:oddHBand="1" w:evenHBand="0" w:firstRowFirstColumn="0" w:firstRowLastColumn="0" w:lastRowFirstColumn="0" w:lastRowLastColumn="0"/>
              <w:rPr>
                <w:b/>
                <w:bCs/>
              </w:rPr>
            </w:pPr>
            <w:r w:rsidRPr="00D95C79">
              <w:rPr>
                <w:b/>
                <w:bCs/>
              </w:rPr>
              <w:t>Risk Register</w:t>
            </w:r>
            <w:r w:rsidR="00C54EA5">
              <w:rPr>
                <w:b/>
                <w:bCs/>
              </w:rPr>
              <w:t xml:space="preserve">: </w:t>
            </w:r>
            <w:r w:rsidRPr="00D17696" w:rsidR="00C54EA5">
              <w:t>example of a Board-level Risk Register</w:t>
            </w:r>
          </w:p>
        </w:tc>
      </w:tr>
      <w:tr w:rsidRPr="00D95C79" w:rsidR="00D95C79" w:rsidTr="00C54EA5" w14:paraId="38A3C1FF" w14:textId="77777777">
        <w:tc>
          <w:tcPr>
            <w:cnfStyle w:val="001000000000" w:firstRow="0" w:lastRow="0" w:firstColumn="1" w:lastColumn="0" w:oddVBand="0" w:evenVBand="0" w:oddHBand="0" w:evenHBand="0" w:firstRowFirstColumn="0" w:firstRowLastColumn="0" w:lastRowFirstColumn="0" w:lastRowLastColumn="0"/>
            <w:tcW w:w="1975" w:type="dxa"/>
          </w:tcPr>
          <w:p w:rsidRPr="00D95C79" w:rsidR="00D95C79" w:rsidP="00D95C79" w:rsidRDefault="00D95C79" w14:paraId="2BC73BC4" w14:textId="38ED22EA">
            <w:pPr>
              <w:ind w:left="360"/>
              <w:rPr>
                <w:b w:val="0"/>
                <w:bCs w:val="0"/>
              </w:rPr>
            </w:pPr>
            <w:r w:rsidRPr="00D95C79">
              <w:rPr>
                <w:b w:val="0"/>
                <w:bCs w:val="0"/>
              </w:rPr>
              <w:t>Appendix H</w:t>
            </w:r>
          </w:p>
        </w:tc>
        <w:tc>
          <w:tcPr>
            <w:tcW w:w="6655" w:type="dxa"/>
          </w:tcPr>
          <w:p w:rsidRPr="00D95C79" w:rsidR="00D95C79" w:rsidP="00D95C79" w:rsidRDefault="00D95C79" w14:paraId="154CA6B2" w14:textId="71AD3C48">
            <w:pPr>
              <w:ind w:left="360"/>
              <w:cnfStyle w:val="000000000000" w:firstRow="0" w:lastRow="0" w:firstColumn="0" w:lastColumn="0" w:oddVBand="0" w:evenVBand="0" w:oddHBand="0" w:evenHBand="0" w:firstRowFirstColumn="0" w:firstRowLastColumn="0" w:lastRowFirstColumn="0" w:lastRowLastColumn="0"/>
              <w:rPr>
                <w:b/>
                <w:bCs/>
              </w:rPr>
            </w:pPr>
            <w:r w:rsidRPr="00D95C79">
              <w:rPr>
                <w:b/>
                <w:bCs/>
              </w:rPr>
              <w:t>Shared Sites and Shared Staff Protocols</w:t>
            </w:r>
            <w:r w:rsidR="00C54EA5">
              <w:rPr>
                <w:b/>
                <w:bCs/>
              </w:rPr>
              <w:t xml:space="preserve">: </w:t>
            </w:r>
            <w:r w:rsidR="00C54EA5">
              <w:t>clarify governance and operational protocols shared sites and staff</w:t>
            </w:r>
          </w:p>
        </w:tc>
      </w:tr>
    </w:tbl>
    <w:p w:rsidR="00D95C79" w:rsidP="00D95C79" w:rsidRDefault="00D95C79" w14:paraId="0ED1E26B" w14:textId="77777777">
      <w:pPr>
        <w:ind w:left="360"/>
      </w:pPr>
    </w:p>
    <w:p w:rsidR="00D17696" w:rsidP="007D234A" w:rsidRDefault="00D17696" w14:paraId="7344B16A" w14:textId="006D5A5F">
      <w:r>
        <w:br w:type="page"/>
      </w:r>
    </w:p>
    <w:p w:rsidRPr="00D95C79" w:rsidR="00D17696" w:rsidP="00D95C79" w:rsidRDefault="00D17696" w14:paraId="7FE49F1B" w14:textId="77777777">
      <w:pPr>
        <w:pStyle w:val="Heading2"/>
      </w:pPr>
      <w:bookmarkStart w:name="_Toc214449725" w:id="18"/>
      <w:r w:rsidRPr="00D95C79">
        <w:t>Appendix A – Common Pressure Points and Solutions</w:t>
      </w:r>
      <w:bookmarkEnd w:id="18"/>
    </w:p>
    <w:p w:rsidRPr="00D17696" w:rsidR="00D17696" w:rsidP="007D234A" w:rsidRDefault="00D17696" w14:paraId="00B8C978" w14:textId="77777777">
      <w:pPr>
        <w:rPr>
          <w:lang w:eastAsia="en-US"/>
        </w:rPr>
      </w:pPr>
      <w:r w:rsidRPr="00D17696">
        <w:rPr>
          <w:lang w:eastAsia="en-US"/>
        </w:rPr>
        <w:t xml:space="preserve">This table </w:t>
      </w:r>
      <w:proofErr w:type="spellStart"/>
      <w:r w:rsidRPr="00D17696">
        <w:rPr>
          <w:lang w:eastAsia="en-US"/>
        </w:rPr>
        <w:t>summarises</w:t>
      </w:r>
      <w:proofErr w:type="spellEnd"/>
      <w:r w:rsidRPr="00D17696">
        <w:rPr>
          <w:lang w:eastAsia="en-US"/>
        </w:rPr>
        <w:t xml:space="preserve"> typical areas of tension between the Proprietor and Board, with suggested proactive approaches to prevent or resolve issues.</w:t>
      </w:r>
    </w:p>
    <w:tbl>
      <w:tblPr>
        <w:tblStyle w:val="MediumGrid3-Accent21"/>
        <w:tblW w:w="0" w:type="auto"/>
        <w:tblLook w:val="04A0" w:firstRow="1" w:lastRow="0" w:firstColumn="1" w:lastColumn="0" w:noHBand="0" w:noVBand="1"/>
      </w:tblPr>
      <w:tblGrid>
        <w:gridCol w:w="2880"/>
        <w:gridCol w:w="2880"/>
        <w:gridCol w:w="2880"/>
      </w:tblGrid>
      <w:tr w:rsidRPr="00D17696" w:rsidR="00D17696" w:rsidTr="00DA7667" w14:paraId="56E5604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4C15C168" w14:textId="77777777">
            <w:r w:rsidRPr="00D17696">
              <w:t>Area</w:t>
            </w:r>
          </w:p>
        </w:tc>
        <w:tc>
          <w:tcPr>
            <w:tcW w:w="2880" w:type="dxa"/>
          </w:tcPr>
          <w:p w:rsidRPr="00D17696" w:rsidR="00D17696" w:rsidP="007D234A" w:rsidRDefault="00D17696" w14:paraId="79A99130" w14:textId="77777777">
            <w:pPr>
              <w:cnfStyle w:val="100000000000" w:firstRow="1" w:lastRow="0" w:firstColumn="0" w:lastColumn="0" w:oddVBand="0" w:evenVBand="0" w:oddHBand="0" w:evenHBand="0" w:firstRowFirstColumn="0" w:firstRowLastColumn="0" w:lastRowFirstColumn="0" w:lastRowLastColumn="0"/>
            </w:pPr>
            <w:r w:rsidRPr="00D17696">
              <w:t>Common Tension</w:t>
            </w:r>
          </w:p>
        </w:tc>
        <w:tc>
          <w:tcPr>
            <w:tcW w:w="2880" w:type="dxa"/>
          </w:tcPr>
          <w:p w:rsidRPr="00D17696" w:rsidR="00D17696" w:rsidP="007D234A" w:rsidRDefault="00D17696" w14:paraId="7933E501" w14:textId="77777777">
            <w:pPr>
              <w:cnfStyle w:val="100000000000" w:firstRow="1" w:lastRow="0" w:firstColumn="0" w:lastColumn="0" w:oddVBand="0" w:evenVBand="0" w:oddHBand="0" w:evenHBand="0" w:firstRowFirstColumn="0" w:firstRowLastColumn="0" w:lastRowFirstColumn="0" w:lastRowLastColumn="0"/>
            </w:pPr>
            <w:r w:rsidRPr="00D17696">
              <w:t>Suggested Solutions / Proactive Approaches</w:t>
            </w:r>
          </w:p>
        </w:tc>
      </w:tr>
      <w:tr w:rsidRPr="00D17696" w:rsidR="00D17696" w:rsidTr="00DA7667" w14:paraId="2E9A0A1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38AA986C" w14:textId="77777777">
            <w:r w:rsidRPr="00D17696">
              <w:t>Property</w:t>
            </w:r>
          </w:p>
        </w:tc>
        <w:tc>
          <w:tcPr>
            <w:tcW w:w="2880" w:type="dxa"/>
          </w:tcPr>
          <w:p w:rsidRPr="00D17696" w:rsidR="00D17696" w:rsidP="007D234A" w:rsidRDefault="00D17696" w14:paraId="03A635EA" w14:textId="77777777">
            <w:pPr>
              <w:cnfStyle w:val="000000100000" w:firstRow="0" w:lastRow="0" w:firstColumn="0" w:lastColumn="0" w:oddVBand="0" w:evenVBand="0" w:oddHBand="1" w:evenHBand="0" w:firstRowFirstColumn="0" w:firstRowLastColumn="0" w:lastRowFirstColumn="0" w:lastRowLastColumn="0"/>
            </w:pPr>
            <w:r w:rsidRPr="00D17696">
              <w:t>Unclear boundaries between integration and operational property responsibilities.</w:t>
            </w:r>
          </w:p>
        </w:tc>
        <w:tc>
          <w:tcPr>
            <w:tcW w:w="2880" w:type="dxa"/>
          </w:tcPr>
          <w:p w:rsidRPr="00D17696" w:rsidR="00D17696" w:rsidP="007D234A" w:rsidRDefault="00D17696" w14:paraId="1A6EFAD9" w14:textId="77777777">
            <w:pPr>
              <w:cnfStyle w:val="000000100000" w:firstRow="0" w:lastRow="0" w:firstColumn="0" w:lastColumn="0" w:oddVBand="0" w:evenVBand="0" w:oddHBand="1" w:evenHBand="0" w:firstRowFirstColumn="0" w:firstRowLastColumn="0" w:lastRowFirstColumn="0" w:lastRowLastColumn="0"/>
            </w:pPr>
            <w:r w:rsidRPr="00D17696">
              <w:t>Maintain a written property responsibilities schedule (integration vs operational) agreed by Proprietor and Board; review annually and attach to the Property Plan / 10YPP.</w:t>
            </w:r>
          </w:p>
        </w:tc>
      </w:tr>
      <w:tr w:rsidRPr="00D17696" w:rsidR="00D17696" w:rsidTr="00DA7667" w14:paraId="6BB9FC16" w14:textId="77777777">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6681AAC2" w14:textId="77777777">
            <w:r w:rsidRPr="00D17696">
              <w:t>Property</w:t>
            </w:r>
          </w:p>
        </w:tc>
        <w:tc>
          <w:tcPr>
            <w:tcW w:w="2880" w:type="dxa"/>
          </w:tcPr>
          <w:p w:rsidRPr="00D17696" w:rsidR="00D17696" w:rsidP="007D234A" w:rsidRDefault="00D17696" w14:paraId="1780BA3B" w14:textId="77777777">
            <w:pPr>
              <w:cnfStyle w:val="000000000000" w:firstRow="0" w:lastRow="0" w:firstColumn="0" w:lastColumn="0" w:oddVBand="0" w:evenVBand="0" w:oddHBand="0" w:evenHBand="0" w:firstRowFirstColumn="0" w:firstRowLastColumn="0" w:lastRowFirstColumn="0" w:lastRowLastColumn="0"/>
            </w:pPr>
            <w:r w:rsidRPr="00D17696">
              <w:t>Timing and communication when urgent repairs impact teaching.</w:t>
            </w:r>
          </w:p>
        </w:tc>
        <w:tc>
          <w:tcPr>
            <w:tcW w:w="2880" w:type="dxa"/>
          </w:tcPr>
          <w:p w:rsidRPr="00D17696" w:rsidR="00D17696" w:rsidP="007D234A" w:rsidRDefault="00D17696" w14:paraId="40753689" w14:textId="77777777">
            <w:pPr>
              <w:cnfStyle w:val="000000000000" w:firstRow="0" w:lastRow="0" w:firstColumn="0" w:lastColumn="0" w:oddVBand="0" w:evenVBand="0" w:oddHBand="0" w:evenHBand="0" w:firstRowFirstColumn="0" w:firstRowLastColumn="0" w:lastRowFirstColumn="0" w:lastRowLastColumn="0"/>
            </w:pPr>
            <w:r w:rsidRPr="00D17696">
              <w:t>Agree an urgent works protocol (who contacts whom, expected response times, temporary room relocations); schedule an annual joint maintenance meeting with a shared 10YPP timetable so both parties see upcoming works.</w:t>
            </w:r>
          </w:p>
        </w:tc>
      </w:tr>
      <w:tr w:rsidRPr="00D17696" w:rsidR="00D17696" w:rsidTr="00DA7667" w14:paraId="0144A09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5908BB6C" w14:textId="77777777">
            <w:r w:rsidRPr="00D17696">
              <w:t>Property</w:t>
            </w:r>
          </w:p>
        </w:tc>
        <w:tc>
          <w:tcPr>
            <w:tcW w:w="2880" w:type="dxa"/>
          </w:tcPr>
          <w:p w:rsidRPr="00D17696" w:rsidR="00D17696" w:rsidP="007D234A" w:rsidRDefault="00D17696" w14:paraId="3F0AF993" w14:textId="77777777">
            <w:pPr>
              <w:cnfStyle w:val="000000100000" w:firstRow="0" w:lastRow="0" w:firstColumn="0" w:lastColumn="0" w:oddVBand="0" w:evenVBand="0" w:oddHBand="1" w:evenHBand="0" w:firstRowFirstColumn="0" w:firstRowLastColumn="0" w:lastRowFirstColumn="0" w:lastRowLastColumn="0"/>
            </w:pPr>
            <w:r w:rsidRPr="00D17696">
              <w:t>Board frustration where Proprietor approval delays projects.</w:t>
            </w:r>
          </w:p>
        </w:tc>
        <w:tc>
          <w:tcPr>
            <w:tcW w:w="2880" w:type="dxa"/>
          </w:tcPr>
          <w:p w:rsidRPr="00D17696" w:rsidR="00D17696" w:rsidP="007D234A" w:rsidRDefault="00D17696" w14:paraId="23153FFD" w14:textId="77777777">
            <w:pPr>
              <w:cnfStyle w:val="000000100000" w:firstRow="0" w:lastRow="0" w:firstColumn="0" w:lastColumn="0" w:oddVBand="0" w:evenVBand="0" w:oddHBand="1" w:evenHBand="0" w:firstRowFirstColumn="0" w:firstRowLastColumn="0" w:lastRowFirstColumn="0" w:lastRowLastColumn="0"/>
            </w:pPr>
            <w:r w:rsidRPr="00D17696">
              <w:t>Set clear approval thresholds and timelines (e.g. approvals within X working days); use a simple project proposal template so information is complete first time; include a standing item on capital projects status at joint meetings.</w:t>
            </w:r>
          </w:p>
        </w:tc>
      </w:tr>
      <w:tr w:rsidRPr="00D17696" w:rsidR="00D17696" w:rsidTr="00DA7667" w14:paraId="62AA8167" w14:textId="77777777">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40D23007" w14:textId="77777777">
            <w:r w:rsidRPr="00D17696">
              <w:t>Property</w:t>
            </w:r>
          </w:p>
        </w:tc>
        <w:tc>
          <w:tcPr>
            <w:tcW w:w="2880" w:type="dxa"/>
          </w:tcPr>
          <w:p w:rsidRPr="00D17696" w:rsidR="00D17696" w:rsidP="007D234A" w:rsidRDefault="00D17696" w14:paraId="5A894E97" w14:textId="77777777">
            <w:pPr>
              <w:cnfStyle w:val="000000000000" w:firstRow="0" w:lastRow="0" w:firstColumn="0" w:lastColumn="0" w:oddVBand="0" w:evenVBand="0" w:oddHBand="0" w:evenHBand="0" w:firstRowFirstColumn="0" w:firstRowLastColumn="0" w:lastRowFirstColumn="0" w:lastRowLastColumn="0"/>
            </w:pPr>
            <w:r w:rsidRPr="00D17696">
              <w:t>Perceived inequity in how maintenance priorities are set by the Proprietor.</w:t>
            </w:r>
          </w:p>
        </w:tc>
        <w:tc>
          <w:tcPr>
            <w:tcW w:w="2880" w:type="dxa"/>
          </w:tcPr>
          <w:p w:rsidRPr="00D17696" w:rsidR="00D17696" w:rsidP="007D234A" w:rsidRDefault="00D17696" w14:paraId="6098D830" w14:textId="77777777">
            <w:pPr>
              <w:cnfStyle w:val="000000000000" w:firstRow="0" w:lastRow="0" w:firstColumn="0" w:lastColumn="0" w:oddVBand="0" w:evenVBand="0" w:oddHBand="0" w:evenHBand="0" w:firstRowFirstColumn="0" w:firstRowLastColumn="0" w:lastRowFirstColumn="0" w:lastRowLastColumn="0"/>
            </w:pPr>
            <w:r w:rsidRPr="00D17696">
              <w:t xml:space="preserve">Share the Proprietor-wide </w:t>
            </w:r>
            <w:proofErr w:type="spellStart"/>
            <w:r w:rsidRPr="00D17696">
              <w:t>prioritisation</w:t>
            </w:r>
            <w:proofErr w:type="spellEnd"/>
            <w:r w:rsidRPr="00D17696">
              <w:t xml:space="preserve"> criteria and how [School Name] fits within that; hold an annual joint maintenance meeting to discuss priorities, rationale and trade-offs, and record agreed actions.</w:t>
            </w:r>
          </w:p>
        </w:tc>
      </w:tr>
      <w:tr w:rsidRPr="00D17696" w:rsidR="00D52E36" w:rsidTr="00DA7667" w14:paraId="142CD2A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Pr="00D17696" w:rsidR="00D52E36" w:rsidP="007D234A" w:rsidRDefault="00D52E36" w14:paraId="43779738" w14:textId="03B4B8EF">
            <w:r>
              <w:t>Property</w:t>
            </w:r>
          </w:p>
        </w:tc>
        <w:tc>
          <w:tcPr>
            <w:tcW w:w="2880" w:type="dxa"/>
          </w:tcPr>
          <w:p w:rsidRPr="00D17696" w:rsidR="00D52E36" w:rsidP="007D234A" w:rsidRDefault="00D52E36" w14:paraId="5DF10566" w14:textId="770A5358">
            <w:pPr>
              <w:cnfStyle w:val="000000100000" w:firstRow="0" w:lastRow="0" w:firstColumn="0" w:lastColumn="0" w:oddVBand="0" w:evenVBand="0" w:oddHBand="1" w:evenHBand="0" w:firstRowFirstColumn="0" w:firstRowLastColumn="0" w:lastRowFirstColumn="0" w:lastRowLastColumn="0"/>
            </w:pPr>
            <w:r>
              <w:t>U</w:t>
            </w:r>
            <w:r w:rsidR="00C4176F">
              <w:t>se by the school of unintegrated spaces owned by the proprietor</w:t>
            </w:r>
            <w:r w:rsidR="00721E45">
              <w:t>.</w:t>
            </w:r>
          </w:p>
        </w:tc>
        <w:tc>
          <w:tcPr>
            <w:tcW w:w="2880" w:type="dxa"/>
          </w:tcPr>
          <w:p w:rsidRPr="00D17696" w:rsidR="00D52E36" w:rsidP="007D234A" w:rsidRDefault="009F49DC" w14:paraId="026913E4" w14:textId="74D0A3BE">
            <w:pPr>
              <w:cnfStyle w:val="000000100000" w:firstRow="0" w:lastRow="0" w:firstColumn="0" w:lastColumn="0" w:oddVBand="0" w:evenVBand="0" w:oddHBand="1" w:evenHBand="0" w:firstRowFirstColumn="0" w:firstRowLastColumn="0" w:lastRowFirstColumn="0" w:lastRowLastColumn="0"/>
            </w:pPr>
            <w:r w:rsidRPr="009F49DC">
              <w:t xml:space="preserve">The Proprietor may allow the school to use non-integrated facilities but can require the Board to pay an </w:t>
            </w:r>
            <w:r w:rsidRPr="009F49DC">
              <w:t>agreed rental or contribution for their use.</w:t>
            </w:r>
          </w:p>
        </w:tc>
      </w:tr>
      <w:tr w:rsidRPr="00D17696" w:rsidR="00D17696" w:rsidTr="00DA7667" w14:paraId="57060470" w14:textId="77777777">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42332FB3" w14:textId="77777777">
            <w:r w:rsidRPr="00D17696">
              <w:t>Staffing &amp; Appointments</w:t>
            </w:r>
          </w:p>
        </w:tc>
        <w:tc>
          <w:tcPr>
            <w:tcW w:w="2880" w:type="dxa"/>
          </w:tcPr>
          <w:p w:rsidRPr="00D17696" w:rsidR="00D17696" w:rsidP="007D234A" w:rsidRDefault="00D17696" w14:paraId="40B9B35B" w14:textId="77777777">
            <w:pPr>
              <w:cnfStyle w:val="000000000000" w:firstRow="0" w:lastRow="0" w:firstColumn="0" w:lastColumn="0" w:oddVBand="0" w:evenVBand="0" w:oddHBand="0" w:evenHBand="0" w:firstRowFirstColumn="0" w:firstRowLastColumn="0" w:lastRowFirstColumn="0" w:lastRowLastColumn="0"/>
            </w:pPr>
            <w:r w:rsidRPr="00D17696">
              <w:t>Disagreement over candidate suitability or the weight of special character criteria.</w:t>
            </w:r>
          </w:p>
        </w:tc>
        <w:tc>
          <w:tcPr>
            <w:tcW w:w="2880" w:type="dxa"/>
          </w:tcPr>
          <w:p w:rsidRPr="00D17696" w:rsidR="00D17696" w:rsidP="007D234A" w:rsidRDefault="00D17696" w14:paraId="2F226EEB" w14:textId="231AD42B">
            <w:pPr>
              <w:cnfStyle w:val="000000000000" w:firstRow="0" w:lastRow="0" w:firstColumn="0" w:lastColumn="0" w:oddVBand="0" w:evenVBand="0" w:oddHBand="0" w:evenHBand="0" w:firstRowFirstColumn="0" w:firstRowLastColumn="0" w:lastRowFirstColumn="0" w:lastRowLastColumn="0"/>
            </w:pPr>
            <w:r w:rsidRPr="00D17696">
              <w:t>Agree written selection criteria (including special character expectations) before advertising; ensure panel members understand the balance of professional and special character requirements; debrief after key appointments.</w:t>
            </w:r>
            <w:r w:rsidR="005D21F5">
              <w:t xml:space="preserve"> Refer </w:t>
            </w:r>
            <w:hyperlink w:history="1" r:id="rId14">
              <w:r w:rsidRPr="00A86FDC" w:rsidR="00A86FDC">
                <w:rPr>
                  <w:rStyle w:val="Hyperlink"/>
                  <w:kern w:val="2"/>
                  <w:lang w:eastAsia="zh-CN"/>
                  <w14:ligatures w14:val="standardContextual"/>
                </w:rPr>
                <w:t>le</w:t>
              </w:r>
              <w:r w:rsidRPr="00A86FDC" w:rsidR="00A86FDC">
                <w:rPr>
                  <w:rStyle w:val="Hyperlink"/>
                </w:rPr>
                <w:t>gislation</w:t>
              </w:r>
            </w:hyperlink>
            <w:r w:rsidR="008C5B00">
              <w:t xml:space="preserve"> to ensure compliant</w:t>
            </w:r>
            <w:r w:rsidR="00A86FDC">
              <w:t xml:space="preserve">. </w:t>
            </w:r>
          </w:p>
        </w:tc>
      </w:tr>
      <w:tr w:rsidRPr="00D17696" w:rsidR="00D17696" w:rsidTr="00DA7667" w14:paraId="35A7CB2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1CE51914" w14:textId="77777777">
            <w:r w:rsidRPr="00D17696">
              <w:t>Staffing &amp; Appointments</w:t>
            </w:r>
          </w:p>
        </w:tc>
        <w:tc>
          <w:tcPr>
            <w:tcW w:w="2880" w:type="dxa"/>
          </w:tcPr>
          <w:p w:rsidRPr="00D17696" w:rsidR="00D17696" w:rsidP="007D234A" w:rsidRDefault="00D17696" w14:paraId="1BFFC652" w14:textId="1DCAAF1D">
            <w:pPr>
              <w:cnfStyle w:val="000000100000" w:firstRow="0" w:lastRow="0" w:firstColumn="0" w:lastColumn="0" w:oddVBand="0" w:evenVBand="0" w:oddHBand="1" w:evenHBand="0" w:firstRowFirstColumn="0" w:firstRowLastColumn="0" w:lastRowFirstColumn="0" w:lastRowLastColumn="0"/>
            </w:pPr>
            <w:r w:rsidRPr="00D17696">
              <w:t xml:space="preserve">Misunderstanding of the Proprietor’s right of </w:t>
            </w:r>
            <w:r w:rsidR="00DE4381">
              <w:t xml:space="preserve">applicant </w:t>
            </w:r>
            <w:r w:rsidR="008D6DBB">
              <w:t xml:space="preserve">acceptability </w:t>
            </w:r>
            <w:r w:rsidRPr="00D17696">
              <w:t>attestation versus the Board’s right of appointment.</w:t>
            </w:r>
          </w:p>
        </w:tc>
        <w:tc>
          <w:tcPr>
            <w:tcW w:w="2880" w:type="dxa"/>
          </w:tcPr>
          <w:p w:rsidRPr="00B04DDC" w:rsidR="00B04DDC" w:rsidP="00B04DDC" w:rsidRDefault="00B04DDC" w14:paraId="79CD081A" w14:textId="1889B59A">
            <w:pPr>
              <w:numPr>
                <w:ilvl w:val="0"/>
                <w:numId w:val="32"/>
              </w:numPr>
              <w:tabs>
                <w:tab w:val="clear" w:pos="360"/>
                <w:tab w:val="num" w:pos="720"/>
              </w:tabs>
              <w:cnfStyle w:val="000000100000" w:firstRow="0" w:lastRow="0" w:firstColumn="0" w:lastColumn="0" w:oddVBand="0" w:evenVBand="0" w:oddHBand="1" w:evenHBand="0" w:firstRowFirstColumn="0" w:firstRowLastColumn="0" w:lastRowFirstColumn="0" w:lastRowLastColumn="0"/>
              <w:rPr>
                <w:lang w:val="en-NZ"/>
              </w:rPr>
            </w:pPr>
            <w:r w:rsidRPr="00B04DDC">
              <w:rPr>
                <w:lang w:val="en-NZ"/>
              </w:rPr>
              <w:t xml:space="preserve">A clear section distinguishing </w:t>
            </w:r>
            <w:r w:rsidR="008D6DBB">
              <w:t xml:space="preserve">applicant acceptability </w:t>
            </w:r>
            <w:r w:rsidRPr="00B04DDC">
              <w:rPr>
                <w:b/>
                <w:bCs/>
                <w:lang w:val="en-NZ"/>
              </w:rPr>
              <w:t>Attestation</w:t>
            </w:r>
            <w:r w:rsidRPr="00B04DDC">
              <w:rPr>
                <w:lang w:val="en-NZ"/>
              </w:rPr>
              <w:t xml:space="preserve"> from </w:t>
            </w:r>
            <w:r w:rsidRPr="00B04DDC">
              <w:rPr>
                <w:b/>
                <w:bCs/>
                <w:lang w:val="en-NZ"/>
              </w:rPr>
              <w:t>Appointment</w:t>
            </w:r>
            <w:r w:rsidRPr="00B04DDC">
              <w:rPr>
                <w:lang w:val="en-NZ"/>
              </w:rPr>
              <w:t>.</w:t>
            </w:r>
          </w:p>
          <w:p w:rsidRPr="00B04DDC" w:rsidR="00B04DDC" w:rsidP="00B04DDC" w:rsidRDefault="00B04DDC" w14:paraId="49BCC747" w14:textId="77777777">
            <w:pPr>
              <w:numPr>
                <w:ilvl w:val="0"/>
                <w:numId w:val="32"/>
              </w:numPr>
              <w:tabs>
                <w:tab w:val="clear" w:pos="360"/>
                <w:tab w:val="num" w:pos="720"/>
              </w:tabs>
              <w:cnfStyle w:val="000000100000" w:firstRow="0" w:lastRow="0" w:firstColumn="0" w:lastColumn="0" w:oddVBand="0" w:evenVBand="0" w:oddHBand="1" w:evenHBand="0" w:firstRowFirstColumn="0" w:firstRowLastColumn="0" w:lastRowFirstColumn="0" w:lastRowLastColumn="0"/>
              <w:rPr>
                <w:lang w:val="en-NZ"/>
              </w:rPr>
            </w:pPr>
            <w:r w:rsidRPr="00B04DDC">
              <w:rPr>
                <w:lang w:val="en-NZ"/>
              </w:rPr>
              <w:t>Induction for Board and panel members on legal roles.</w:t>
            </w:r>
          </w:p>
          <w:p w:rsidRPr="00B04DDC" w:rsidR="00B04DDC" w:rsidP="00B04DDC" w:rsidRDefault="00B04DDC" w14:paraId="6A35D61E" w14:textId="77777777">
            <w:pPr>
              <w:numPr>
                <w:ilvl w:val="0"/>
                <w:numId w:val="32"/>
              </w:numPr>
              <w:tabs>
                <w:tab w:val="clear" w:pos="360"/>
                <w:tab w:val="num" w:pos="720"/>
              </w:tabs>
              <w:cnfStyle w:val="000000100000" w:firstRow="0" w:lastRow="0" w:firstColumn="0" w:lastColumn="0" w:oddVBand="0" w:evenVBand="0" w:oddHBand="1" w:evenHBand="0" w:firstRowFirstColumn="0" w:firstRowLastColumn="0" w:lastRowFirstColumn="0" w:lastRowLastColumn="0"/>
              <w:rPr>
                <w:lang w:val="en-NZ"/>
              </w:rPr>
            </w:pPr>
            <w:r w:rsidRPr="00B04DDC">
              <w:rPr>
                <w:lang w:val="en-NZ"/>
              </w:rPr>
              <w:t>A standard process map showing attestation within the appointment timeline.</w:t>
            </w:r>
          </w:p>
          <w:p w:rsidR="00B04DDC" w:rsidP="00B04DDC" w:rsidRDefault="00B04DDC" w14:paraId="2E64293F" w14:textId="2A3F9284">
            <w:pPr>
              <w:cnfStyle w:val="000000100000" w:firstRow="0" w:lastRow="0" w:firstColumn="0" w:lastColumn="0" w:oddVBand="0" w:evenVBand="0" w:oddHBand="1" w:evenHBand="0" w:firstRowFirstColumn="0" w:firstRowLastColumn="0" w:lastRowFirstColumn="0" w:lastRowLastColumn="0"/>
              <w:rPr>
                <w:lang w:val="en-NZ"/>
              </w:rPr>
            </w:pPr>
            <w:r w:rsidRPr="00B04DDC">
              <w:rPr>
                <w:b/>
                <w:bCs/>
                <w:lang w:val="en-NZ"/>
              </w:rPr>
              <w:t>Requirement:</w:t>
            </w:r>
            <w:r w:rsidRPr="00B04DDC">
              <w:rPr>
                <w:lang w:val="en-NZ"/>
              </w:rPr>
              <w:br/>
            </w:r>
            <w:r w:rsidR="009C03DF">
              <w:rPr>
                <w:lang w:val="en-NZ"/>
              </w:rPr>
              <w:t xml:space="preserve">For secondary or </w:t>
            </w:r>
            <w:r w:rsidR="00C0143B">
              <w:rPr>
                <w:lang w:val="en-NZ"/>
              </w:rPr>
              <w:t>Area schools, t</w:t>
            </w:r>
            <w:r w:rsidRPr="00B04DDC">
              <w:rPr>
                <w:lang w:val="en-NZ"/>
              </w:rPr>
              <w:t xml:space="preserve">he Board/Principal must ensure a Proprietor appointee on the </w:t>
            </w:r>
            <w:r w:rsidR="0043436F">
              <w:rPr>
                <w:lang w:val="en-NZ"/>
              </w:rPr>
              <w:t>board</w:t>
            </w:r>
            <w:r w:rsidRPr="00B04DDC">
              <w:rPr>
                <w:lang w:val="en-NZ"/>
              </w:rPr>
              <w:t xml:space="preserve">, or another person nominated by the Proprietor, represents the Proprietor on any Appointments Panel for a tagged position, as required by the </w:t>
            </w:r>
            <w:hyperlink w:history="1" r:id="rId15">
              <w:r w:rsidRPr="00644BB3">
                <w:rPr>
                  <w:rStyle w:val="Hyperlink"/>
                  <w:kern w:val="2"/>
                  <w:lang w:val="en-NZ" w:eastAsia="zh-CN"/>
                  <w14:ligatures w14:val="standardContextual"/>
                </w:rPr>
                <w:t>Act</w:t>
              </w:r>
            </w:hyperlink>
            <w:r w:rsidRPr="00B04DDC">
              <w:rPr>
                <w:lang w:val="en-NZ"/>
              </w:rPr>
              <w:t>.</w:t>
            </w:r>
          </w:p>
          <w:p w:rsidRPr="00B04DDC" w:rsidR="00C0143B" w:rsidP="00B04DDC" w:rsidRDefault="00C0143B" w14:paraId="377864B7" w14:textId="2FFD74B8">
            <w:pPr>
              <w:cnfStyle w:val="000000100000" w:firstRow="0" w:lastRow="0" w:firstColumn="0" w:lastColumn="0" w:oddVBand="0" w:evenVBand="0" w:oddHBand="1" w:evenHBand="0" w:firstRowFirstColumn="0" w:firstRowLastColumn="0" w:lastRowFirstColumn="0" w:lastRowLastColumn="0"/>
              <w:rPr>
                <w:lang w:val="en-NZ"/>
              </w:rPr>
            </w:pPr>
            <w:r>
              <w:rPr>
                <w:lang w:val="en-NZ"/>
              </w:rPr>
              <w:t xml:space="preserve">For Primary schools, </w:t>
            </w:r>
            <w:r w:rsidR="00CB3055">
              <w:rPr>
                <w:lang w:val="en-NZ"/>
              </w:rPr>
              <w:t xml:space="preserve">the proprietor will determine acceptability as required by the </w:t>
            </w:r>
            <w:hyperlink w:history="1" r:id="rId16">
              <w:r w:rsidRPr="009A3639" w:rsidR="00CB3055">
                <w:rPr>
                  <w:rStyle w:val="Hyperlink"/>
                  <w:kern w:val="2"/>
                  <w:lang w:val="en-NZ" w:eastAsia="zh-CN"/>
                  <w14:ligatures w14:val="standardContextual"/>
                </w:rPr>
                <w:t>Act</w:t>
              </w:r>
            </w:hyperlink>
            <w:r w:rsidR="00CB3055">
              <w:rPr>
                <w:lang w:val="en-NZ"/>
              </w:rPr>
              <w:t xml:space="preserve">. </w:t>
            </w:r>
          </w:p>
          <w:p w:rsidRPr="00D17696" w:rsidR="00E936E3" w:rsidP="007D234A" w:rsidRDefault="00E936E3" w14:paraId="3E67F827" w14:textId="178F917C">
            <w:pPr>
              <w:cnfStyle w:val="000000100000" w:firstRow="0" w:lastRow="0" w:firstColumn="0" w:lastColumn="0" w:oddVBand="0" w:evenVBand="0" w:oddHBand="1" w:evenHBand="0" w:firstRowFirstColumn="0" w:firstRowLastColumn="0" w:lastRowFirstColumn="0" w:lastRowLastColumn="0"/>
            </w:pPr>
          </w:p>
        </w:tc>
      </w:tr>
      <w:tr w:rsidRPr="00D17696" w:rsidR="00D17696" w:rsidTr="00DA7667" w14:paraId="4543B25E" w14:textId="77777777">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01289E76" w14:textId="77777777">
            <w:r w:rsidRPr="00D17696">
              <w:t>Staffing &amp; Appointments</w:t>
            </w:r>
          </w:p>
        </w:tc>
        <w:tc>
          <w:tcPr>
            <w:tcW w:w="2880" w:type="dxa"/>
          </w:tcPr>
          <w:p w:rsidRPr="00D17696" w:rsidR="00D17696" w:rsidP="007D234A" w:rsidRDefault="00D17696" w14:paraId="0E53D6CF" w14:textId="77777777">
            <w:pPr>
              <w:cnfStyle w:val="000000000000" w:firstRow="0" w:lastRow="0" w:firstColumn="0" w:lastColumn="0" w:oddVBand="0" w:evenVBand="0" w:oddHBand="0" w:evenHBand="0" w:firstRowFirstColumn="0" w:firstRowLastColumn="0" w:lastRowFirstColumn="0" w:lastRowLastColumn="0"/>
            </w:pPr>
            <w:r w:rsidRPr="00D17696">
              <w:t>Staff disputes where alignment with special character is questioned post-appointment.</w:t>
            </w:r>
          </w:p>
        </w:tc>
        <w:tc>
          <w:tcPr>
            <w:tcW w:w="2880" w:type="dxa"/>
          </w:tcPr>
          <w:p w:rsidRPr="00D17696" w:rsidR="00D17696" w:rsidP="007D234A" w:rsidRDefault="00D17696" w14:paraId="416470AF" w14:textId="77777777">
            <w:pPr>
              <w:cnfStyle w:val="000000000000" w:firstRow="0" w:lastRow="0" w:firstColumn="0" w:lastColumn="0" w:oddVBand="0" w:evenVBand="0" w:oddHBand="0" w:evenHBand="0" w:firstRowFirstColumn="0" w:firstRowLastColumn="0" w:lastRowFirstColumn="0" w:lastRowLastColumn="0"/>
            </w:pPr>
            <w:r w:rsidRPr="00D17696">
              <w:t xml:space="preserve">Ensure role descriptions and codes of conduct explicitly reference special character expectations; address issues early </w:t>
            </w:r>
            <w:r w:rsidRPr="00D17696">
              <w:t>through professional growth, formation and support; where needed, follow agreed HR and complaints processes with Proprietor input.</w:t>
            </w:r>
          </w:p>
        </w:tc>
      </w:tr>
      <w:tr w:rsidRPr="00D17696" w:rsidR="0001445B" w:rsidTr="00DA7667" w14:paraId="3ECF61E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Pr="00D17696" w:rsidR="0001445B" w:rsidP="007D234A" w:rsidRDefault="0001445B" w14:paraId="497CD0AE" w14:textId="77777777"/>
        </w:tc>
        <w:tc>
          <w:tcPr>
            <w:tcW w:w="2880" w:type="dxa"/>
          </w:tcPr>
          <w:p w:rsidRPr="00D17696" w:rsidR="0001445B" w:rsidP="007D234A" w:rsidRDefault="001F7357" w14:paraId="545E75A2" w14:textId="6C1F2671">
            <w:pPr>
              <w:cnfStyle w:val="000000100000" w:firstRow="0" w:lastRow="0" w:firstColumn="0" w:lastColumn="0" w:oddVBand="0" w:evenVBand="0" w:oddHBand="1" w:evenHBand="0" w:firstRowFirstColumn="0" w:firstRowLastColumn="0" w:lastRowFirstColumn="0" w:lastRowLastColumn="0"/>
            </w:pPr>
            <w:r>
              <w:t>Dispute over proprietor representation on appointment panels for teaching positions</w:t>
            </w:r>
          </w:p>
        </w:tc>
        <w:tc>
          <w:tcPr>
            <w:tcW w:w="2880" w:type="dxa"/>
          </w:tcPr>
          <w:p w:rsidRPr="00D17696" w:rsidR="0001445B" w:rsidP="007D234A" w:rsidRDefault="00736943" w14:paraId="46D39A33" w14:textId="77A99AE7">
            <w:pPr>
              <w:cnfStyle w:val="000000100000" w:firstRow="0" w:lastRow="0" w:firstColumn="0" w:lastColumn="0" w:oddVBand="0" w:evenVBand="0" w:oddHBand="1" w:evenHBand="0" w:firstRowFirstColumn="0" w:firstRowLastColumn="0" w:lastRowFirstColumn="0" w:lastRowLastColumn="0"/>
            </w:pPr>
            <w:r>
              <w:t>Ensure t</w:t>
            </w:r>
            <w:r w:rsidRPr="00736943">
              <w:t>he number or proportion of teaching positions which are tagged in the School’s Integration Agreement is</w:t>
            </w:r>
            <w:r>
              <w:t xml:space="preserve"> understood by both parties. </w:t>
            </w:r>
          </w:p>
        </w:tc>
      </w:tr>
      <w:tr w:rsidRPr="00D17696" w:rsidR="00D17696" w:rsidTr="00DA7667" w14:paraId="5CF0F1B0" w14:textId="77777777">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511E9890" w14:textId="77777777">
            <w:r w:rsidRPr="00D17696">
              <w:t>Enrolments</w:t>
            </w:r>
          </w:p>
        </w:tc>
        <w:tc>
          <w:tcPr>
            <w:tcW w:w="2880" w:type="dxa"/>
          </w:tcPr>
          <w:p w:rsidRPr="00D17696" w:rsidR="00D17696" w:rsidP="007D234A" w:rsidRDefault="00D17696" w14:paraId="1DCFB30B" w14:textId="77777777">
            <w:pPr>
              <w:cnfStyle w:val="000000000000" w:firstRow="0" w:lastRow="0" w:firstColumn="0" w:lastColumn="0" w:oddVBand="0" w:evenVBand="0" w:oddHBand="0" w:evenHBand="0" w:firstRowFirstColumn="0" w:firstRowLastColumn="0" w:lastRowFirstColumn="0" w:lastRowLastColumn="0"/>
            </w:pPr>
            <w:r w:rsidRPr="00D17696">
              <w:t>Pressure from community demand for places.</w:t>
            </w:r>
          </w:p>
        </w:tc>
        <w:tc>
          <w:tcPr>
            <w:tcW w:w="2880" w:type="dxa"/>
          </w:tcPr>
          <w:p w:rsidRPr="00D17696" w:rsidR="00D17696" w:rsidP="007D234A" w:rsidRDefault="003B42F6" w14:paraId="44146199" w14:textId="497D3F83">
            <w:pPr>
              <w:cnfStyle w:val="000000000000" w:firstRow="0" w:lastRow="0" w:firstColumn="0" w:lastColumn="0" w:oddVBand="0" w:evenVBand="0" w:oddHBand="0" w:evenHBand="0" w:firstRowFirstColumn="0" w:firstRowLastColumn="0" w:lastRowFirstColumn="0" w:lastRowLastColumn="0"/>
            </w:pPr>
            <w:r w:rsidRPr="003B42F6">
              <w:t xml:space="preserve">In the absence of a Ministry of Education initiated and mandated enrolment scheme, maintain </w:t>
            </w:r>
            <w:r w:rsidRPr="00D17696" w:rsidR="00D17696">
              <w:t>an up-to-date, Board-approved enrolment policy aligned with the Integration Agreement; communicate clearly that spaces are limited and preference criteria apply; regularly review roll data and projections with the Proprietor.</w:t>
            </w:r>
            <w:r w:rsidR="00240515">
              <w:t xml:space="preserve">  </w:t>
            </w:r>
            <w:r w:rsidRPr="00296426" w:rsidR="00296426">
              <w:t>If the school is at 85% (or more) of its maximum roll, consider requesting the Ministry of Education to initiate the development of an enrolment scheme for the school</w:t>
            </w:r>
            <w:r w:rsidR="00240515">
              <w:t>.</w:t>
            </w:r>
          </w:p>
        </w:tc>
      </w:tr>
      <w:tr w:rsidRPr="00D17696" w:rsidR="00D17696" w:rsidTr="00DA7667" w14:paraId="644E0CC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2274D53D" w14:textId="77777777">
            <w:r w:rsidRPr="00D17696">
              <w:t>Enrolments</w:t>
            </w:r>
          </w:p>
        </w:tc>
        <w:tc>
          <w:tcPr>
            <w:tcW w:w="2880" w:type="dxa"/>
          </w:tcPr>
          <w:p w:rsidRPr="00D17696" w:rsidR="00D17696" w:rsidP="007D234A" w:rsidRDefault="00D17696" w14:paraId="77255900" w14:textId="77777777">
            <w:pPr>
              <w:cnfStyle w:val="000000100000" w:firstRow="0" w:lastRow="0" w:firstColumn="0" w:lastColumn="0" w:oddVBand="0" w:evenVBand="0" w:oddHBand="1" w:evenHBand="0" w:firstRowFirstColumn="0" w:firstRowLastColumn="0" w:lastRowFirstColumn="0" w:lastRowLastColumn="0"/>
            </w:pPr>
            <w:r w:rsidRPr="00D17696">
              <w:t>Perceived inconsistency in the issuance of preference certificates.</w:t>
            </w:r>
          </w:p>
        </w:tc>
        <w:tc>
          <w:tcPr>
            <w:tcW w:w="2880" w:type="dxa"/>
          </w:tcPr>
          <w:p w:rsidRPr="00B10C61" w:rsidR="000368F2" w:rsidP="000368F2" w:rsidRDefault="00D17696" w14:paraId="5ECA621F" w14:textId="4E9C471E">
            <w:pPr>
              <w:cnfStyle w:val="000000100000" w:firstRow="0" w:lastRow="0" w:firstColumn="0" w:lastColumn="0" w:oddVBand="0" w:evenVBand="0" w:oddHBand="1" w:evenHBand="0" w:firstRowFirstColumn="0" w:firstRowLastColumn="0" w:lastRowFirstColumn="0" w:lastRowLastColumn="0"/>
            </w:pPr>
            <w:r w:rsidRPr="00D17696">
              <w:t xml:space="preserve">Ensure preference criteria and processes are clearly documented and available to whānau; provide training for those issuing certificates; periodically review samples </w:t>
            </w:r>
            <w:r w:rsidRPr="00B10C61" w:rsidR="000368F2">
              <w:t xml:space="preserve">with the Bishop and the Proprietor (for Catholic state-integrated schools), or with the Proprietor or parish/faith authority (for </w:t>
            </w:r>
            <w:proofErr w:type="spellStart"/>
            <w:proofErr w:type="gramStart"/>
            <w:r w:rsidR="00B10C61">
              <w:t xml:space="preserve">non </w:t>
            </w:r>
            <w:r w:rsidRPr="00B10C61" w:rsidR="000368F2">
              <w:t>Catholic</w:t>
            </w:r>
            <w:proofErr w:type="spellEnd"/>
            <w:proofErr w:type="gramEnd"/>
            <w:r w:rsidRPr="00B10C61" w:rsidR="000368F2">
              <w:t xml:space="preserve"> state-integrated schools).”</w:t>
            </w:r>
          </w:p>
          <w:p w:rsidRPr="00D17696" w:rsidR="00D17696" w:rsidP="007D234A" w:rsidRDefault="00D17696" w14:paraId="6ED45F04" w14:textId="15232B63">
            <w:pPr>
              <w:cnfStyle w:val="000000100000" w:firstRow="0" w:lastRow="0" w:firstColumn="0" w:lastColumn="0" w:oddVBand="0" w:evenVBand="0" w:oddHBand="1" w:evenHBand="0" w:firstRowFirstColumn="0" w:firstRowLastColumn="0" w:lastRowFirstColumn="0" w:lastRowLastColumn="0"/>
            </w:pPr>
          </w:p>
        </w:tc>
      </w:tr>
      <w:tr w:rsidRPr="00D17696" w:rsidR="00D17696" w:rsidTr="00DA7667" w14:paraId="20BB41D5" w14:textId="77777777">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214CC633" w14:textId="77777777">
            <w:r w:rsidRPr="00D17696">
              <w:t>Enrolments</w:t>
            </w:r>
          </w:p>
        </w:tc>
        <w:tc>
          <w:tcPr>
            <w:tcW w:w="2880" w:type="dxa"/>
          </w:tcPr>
          <w:p w:rsidRPr="00D17696" w:rsidR="00D17696" w:rsidP="007D234A" w:rsidRDefault="00D17696" w14:paraId="195C43D5" w14:textId="77777777">
            <w:pPr>
              <w:cnfStyle w:val="000000000000" w:firstRow="0" w:lastRow="0" w:firstColumn="0" w:lastColumn="0" w:oddVBand="0" w:evenVBand="0" w:oddHBand="0" w:evenHBand="0" w:firstRowFirstColumn="0" w:firstRowLastColumn="0" w:lastRowFirstColumn="0" w:lastRowLastColumn="0"/>
            </w:pPr>
            <w:r w:rsidRPr="00D17696">
              <w:t>Parent appeals regarding preference decisions.</w:t>
            </w:r>
          </w:p>
        </w:tc>
        <w:tc>
          <w:tcPr>
            <w:tcW w:w="2880" w:type="dxa"/>
          </w:tcPr>
          <w:p w:rsidRPr="00D17696" w:rsidR="00D17696" w:rsidP="007D234A" w:rsidRDefault="00D17696" w14:paraId="03A309CA" w14:textId="5B27275A">
            <w:pPr>
              <w:cnfStyle w:val="000000000000" w:firstRow="0" w:lastRow="0" w:firstColumn="0" w:lastColumn="0" w:oddVBand="0" w:evenVBand="0" w:oddHBand="0" w:evenHBand="0" w:firstRowFirstColumn="0" w:firstRowLastColumn="0" w:lastRowFirstColumn="0" w:lastRowLastColumn="0"/>
            </w:pPr>
            <w:r w:rsidRPr="00D17696">
              <w:t xml:space="preserve">Publish a simple appeals/queries process (who to contact, expected timeframes); keep written records of decisions and reasons; involve </w:t>
            </w:r>
            <w:r w:rsidRPr="00A06903" w:rsidR="00A06903">
              <w:t xml:space="preserve">the Bishop and the Proprietor (for Catholic state-integrated schools), or with the Proprietor or parish/faith authority (for </w:t>
            </w:r>
            <w:proofErr w:type="spellStart"/>
            <w:proofErr w:type="gramStart"/>
            <w:r w:rsidRPr="00A06903" w:rsidR="00A06903">
              <w:t>non Catholic</w:t>
            </w:r>
            <w:proofErr w:type="spellEnd"/>
            <w:proofErr w:type="gramEnd"/>
            <w:r w:rsidRPr="00A06903" w:rsidR="00A06903">
              <w:t xml:space="preserve"> state-integrated schools), </w:t>
            </w:r>
            <w:r w:rsidRPr="00D17696" w:rsidR="00A06903">
              <w:t>where appropriate.</w:t>
            </w:r>
          </w:p>
        </w:tc>
      </w:tr>
      <w:tr w:rsidRPr="00D17696" w:rsidR="00D17696" w:rsidTr="00DA7667" w14:paraId="57E1E9D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4AD94BBD" w14:textId="77777777">
            <w:r w:rsidRPr="00D17696">
              <w:t>Enrolments</w:t>
            </w:r>
          </w:p>
        </w:tc>
        <w:tc>
          <w:tcPr>
            <w:tcW w:w="2880" w:type="dxa"/>
          </w:tcPr>
          <w:p w:rsidRPr="00D17696" w:rsidR="00D17696" w:rsidP="007D234A" w:rsidRDefault="00D17696" w14:paraId="0D3B76D1" w14:textId="77777777">
            <w:pPr>
              <w:cnfStyle w:val="000000100000" w:firstRow="0" w:lastRow="0" w:firstColumn="0" w:lastColumn="0" w:oddVBand="0" w:evenVBand="0" w:oddHBand="1" w:evenHBand="0" w:firstRowFirstColumn="0" w:firstRowLastColumn="0" w:lastRowFirstColumn="0" w:lastRowLastColumn="0"/>
            </w:pPr>
            <w:r w:rsidRPr="00D17696">
              <w:t>Lack of communication on roll returns and waiting lists.</w:t>
            </w:r>
          </w:p>
        </w:tc>
        <w:tc>
          <w:tcPr>
            <w:tcW w:w="2880" w:type="dxa"/>
          </w:tcPr>
          <w:p w:rsidRPr="00D17696" w:rsidR="00D17696" w:rsidP="007D234A" w:rsidRDefault="00D17696" w14:paraId="3D49EBA5" w14:textId="20EB6C7A">
            <w:pPr>
              <w:cnfStyle w:val="000000100000" w:firstRow="0" w:lastRow="0" w:firstColumn="0" w:lastColumn="0" w:oddVBand="0" w:evenVBand="0" w:oddHBand="1" w:evenHBand="0" w:firstRowFirstColumn="0" w:firstRowLastColumn="0" w:lastRowFirstColumn="0" w:lastRowLastColumn="0"/>
            </w:pPr>
            <w:proofErr w:type="gramStart"/>
            <w:r w:rsidRPr="00D17696">
              <w:t>Agree</w:t>
            </w:r>
            <w:proofErr w:type="gramEnd"/>
            <w:r w:rsidRPr="00D17696">
              <w:t xml:space="preserve"> a termly reporting schedule: roll returns, waiting list summary, projected enrolments; keep a shared, updated waiting-list record accessible to key school and Proprietor personnel.</w:t>
            </w:r>
            <w:r w:rsidR="00856A97">
              <w:t xml:space="preserve">  Review waiting lists every year</w:t>
            </w:r>
            <w:r w:rsidR="007C3692">
              <w:t xml:space="preserve"> to confirm parents still want to remain on list. </w:t>
            </w:r>
          </w:p>
        </w:tc>
      </w:tr>
      <w:tr w:rsidRPr="00D17696" w:rsidR="00D17696" w:rsidTr="00DA7667" w14:paraId="30B5DF25" w14:textId="77777777">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10D5A3B9" w14:textId="77777777">
            <w:r w:rsidRPr="00D17696">
              <w:t>Special Character</w:t>
            </w:r>
          </w:p>
        </w:tc>
        <w:tc>
          <w:tcPr>
            <w:tcW w:w="2880" w:type="dxa"/>
          </w:tcPr>
          <w:p w:rsidRPr="00D17696" w:rsidR="00D17696" w:rsidP="007D234A" w:rsidRDefault="00D17696" w14:paraId="6EF69AEA" w14:textId="77777777">
            <w:pPr>
              <w:cnfStyle w:val="000000000000" w:firstRow="0" w:lastRow="0" w:firstColumn="0" w:lastColumn="0" w:oddVBand="0" w:evenVBand="0" w:oddHBand="0" w:evenHBand="0" w:firstRowFirstColumn="0" w:firstRowLastColumn="0" w:lastRowFirstColumn="0" w:lastRowLastColumn="0"/>
            </w:pPr>
            <w:r w:rsidRPr="00D17696">
              <w:t>Scope creep where “special character” is interpreted differently by each party.</w:t>
            </w:r>
          </w:p>
        </w:tc>
        <w:tc>
          <w:tcPr>
            <w:tcW w:w="2880" w:type="dxa"/>
          </w:tcPr>
          <w:p w:rsidRPr="00D17696" w:rsidR="00D17696" w:rsidP="007D234A" w:rsidRDefault="00D17696" w14:paraId="05A1F162" w14:textId="77777777">
            <w:pPr>
              <w:cnfStyle w:val="000000000000" w:firstRow="0" w:lastRow="0" w:firstColumn="0" w:lastColumn="0" w:oddVBand="0" w:evenVBand="0" w:oddHBand="0" w:evenHBand="0" w:firstRowFirstColumn="0" w:firstRowLastColumn="0" w:lastRowFirstColumn="0" w:lastRowLastColumn="0"/>
            </w:pPr>
            <w:r w:rsidRPr="00D17696">
              <w:t>Anchor decisions in agreed special character documents (Integration Agreement, Proprietor guidelines); hold an annual joint reflection on special character priorities; use shared language and frameworks (e.g. core practices) across Board, Proprietor and leadership.</w:t>
            </w:r>
          </w:p>
        </w:tc>
      </w:tr>
      <w:tr w:rsidRPr="00D17696" w:rsidR="00D17696" w:rsidTr="00DA7667" w14:paraId="2AF739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4C3E5E2A" w14:textId="77777777">
            <w:r w:rsidRPr="00D17696">
              <w:t>Special Character</w:t>
            </w:r>
          </w:p>
        </w:tc>
        <w:tc>
          <w:tcPr>
            <w:tcW w:w="2880" w:type="dxa"/>
          </w:tcPr>
          <w:p w:rsidRPr="00D17696" w:rsidR="00D17696" w:rsidP="007D234A" w:rsidRDefault="00D17696" w14:paraId="0FAF554A" w14:textId="77777777">
            <w:pPr>
              <w:cnfStyle w:val="000000100000" w:firstRow="0" w:lastRow="0" w:firstColumn="0" w:lastColumn="0" w:oddVBand="0" w:evenVBand="0" w:oddHBand="1" w:evenHBand="0" w:firstRowFirstColumn="0" w:firstRowLastColumn="0" w:lastRowFirstColumn="0" w:lastRowLastColumn="0"/>
            </w:pPr>
            <w:r w:rsidRPr="00D17696">
              <w:t>Inconsistent review or lack of clarity about accountability for special character outcomes.</w:t>
            </w:r>
          </w:p>
        </w:tc>
        <w:tc>
          <w:tcPr>
            <w:tcW w:w="2880" w:type="dxa"/>
          </w:tcPr>
          <w:p w:rsidRPr="00D17696" w:rsidR="00D17696" w:rsidP="007D234A" w:rsidRDefault="00D17696" w14:paraId="5467BE2A" w14:textId="77777777">
            <w:pPr>
              <w:cnfStyle w:val="000000100000" w:firstRow="0" w:lastRow="0" w:firstColumn="0" w:lastColumn="0" w:oddVBand="0" w:evenVBand="0" w:oddHBand="1" w:evenHBand="0" w:firstRowFirstColumn="0" w:firstRowLastColumn="0" w:lastRowFirstColumn="0" w:lastRowLastColumn="0"/>
            </w:pPr>
            <w:r w:rsidRPr="00D17696">
              <w:t xml:space="preserve">Establish a regular special character review cycle (e.g. every 3 years) and annual self-review; clarify in writing who is accountable for what (Proprietor, Board, </w:t>
            </w:r>
            <w:proofErr w:type="gramStart"/>
            <w:r w:rsidRPr="00D17696">
              <w:t>principal</w:t>
            </w:r>
            <w:proofErr w:type="gramEnd"/>
            <w:r w:rsidRPr="00D17696">
              <w:t>); report outcomes and actions through Board and Proprietor.</w:t>
            </w:r>
          </w:p>
        </w:tc>
      </w:tr>
      <w:tr w:rsidRPr="00D17696" w:rsidR="00D17696" w:rsidTr="00DA7667" w14:paraId="73F8C2B1" w14:textId="77777777">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696AD6AA" w14:textId="77777777">
            <w:r w:rsidRPr="00D17696">
              <w:t>Special Character</w:t>
            </w:r>
          </w:p>
        </w:tc>
        <w:tc>
          <w:tcPr>
            <w:tcW w:w="2880" w:type="dxa"/>
          </w:tcPr>
          <w:p w:rsidRPr="00D17696" w:rsidR="00D17696" w:rsidP="007D234A" w:rsidRDefault="00D17696" w14:paraId="42BA174B" w14:textId="77777777">
            <w:pPr>
              <w:cnfStyle w:val="000000000000" w:firstRow="0" w:lastRow="0" w:firstColumn="0" w:lastColumn="0" w:oddVBand="0" w:evenVBand="0" w:oddHBand="0" w:evenHBand="0" w:firstRowFirstColumn="0" w:firstRowLastColumn="0" w:lastRowFirstColumn="0" w:lastRowLastColumn="0"/>
            </w:pPr>
            <w:r w:rsidRPr="00D17696">
              <w:t>Resistance when Proprietor requests policy or practice changes.</w:t>
            </w:r>
          </w:p>
        </w:tc>
        <w:tc>
          <w:tcPr>
            <w:tcW w:w="2880" w:type="dxa"/>
          </w:tcPr>
          <w:p w:rsidRPr="00D17696" w:rsidR="00D17696" w:rsidP="007D234A" w:rsidRDefault="00D17696" w14:paraId="781C626C" w14:textId="77777777">
            <w:pPr>
              <w:cnfStyle w:val="000000000000" w:firstRow="0" w:lastRow="0" w:firstColumn="0" w:lastColumn="0" w:oddVBand="0" w:evenVBand="0" w:oddHBand="0" w:evenHBand="0" w:firstRowFirstColumn="0" w:firstRowLastColumn="0" w:lastRowFirstColumn="0" w:lastRowLastColumn="0"/>
            </w:pPr>
            <w:r w:rsidRPr="00D17696">
              <w:t>Use a consultative approach: explain the theological/legislative rationale, provide draft wording, and allow time for Board and staff feedback; agree implementation timelines and support (formation, resources).</w:t>
            </w:r>
          </w:p>
        </w:tc>
      </w:tr>
      <w:tr w:rsidRPr="00D17696" w:rsidR="00D17696" w:rsidTr="00DA7667" w14:paraId="6A83D6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2951EB13" w14:textId="77777777">
            <w:r w:rsidRPr="00D17696">
              <w:t>Finance &amp; Operational Matters</w:t>
            </w:r>
          </w:p>
        </w:tc>
        <w:tc>
          <w:tcPr>
            <w:tcW w:w="2880" w:type="dxa"/>
          </w:tcPr>
          <w:p w:rsidRPr="00D17696" w:rsidR="00D17696" w:rsidP="007D234A" w:rsidRDefault="00D17696" w14:paraId="46B40B99" w14:textId="77777777">
            <w:pPr>
              <w:cnfStyle w:val="000000100000" w:firstRow="0" w:lastRow="0" w:firstColumn="0" w:lastColumn="0" w:oddVBand="0" w:evenVBand="0" w:oddHBand="1" w:evenHBand="0" w:firstRowFirstColumn="0" w:firstRowLastColumn="0" w:lastRowFirstColumn="0" w:lastRowLastColumn="0"/>
            </w:pPr>
            <w:r w:rsidRPr="00D17696">
              <w:t>Disputes about use of funds or perceptions of cross-</w:t>
            </w:r>
            <w:proofErr w:type="spellStart"/>
            <w:r w:rsidRPr="00D17696">
              <w:t>subsidisation</w:t>
            </w:r>
            <w:proofErr w:type="spellEnd"/>
            <w:r w:rsidRPr="00D17696">
              <w:t>.</w:t>
            </w:r>
          </w:p>
        </w:tc>
        <w:tc>
          <w:tcPr>
            <w:tcW w:w="2880" w:type="dxa"/>
          </w:tcPr>
          <w:p w:rsidRPr="00D17696" w:rsidR="00D17696" w:rsidP="007D234A" w:rsidRDefault="00D17696" w14:paraId="042DC24E" w14:textId="146EE8B1">
            <w:pPr>
              <w:cnfStyle w:val="000000100000" w:firstRow="0" w:lastRow="0" w:firstColumn="0" w:lastColumn="0" w:oddVBand="0" w:evenVBand="0" w:oddHBand="1" w:evenHBand="0" w:firstRowFirstColumn="0" w:firstRowLastColumn="0" w:lastRowFirstColumn="0" w:lastRowLastColumn="0"/>
            </w:pPr>
            <w:r w:rsidRPr="00D17696">
              <w:t xml:space="preserve">Provide an annual financial briefing with clear explanation of funding sources, attendance dues, and what they may/may not be used for; share summary </w:t>
            </w:r>
            <w:r w:rsidR="000457C9">
              <w:t>special character donations (</w:t>
            </w:r>
            <w:r w:rsidRPr="00D17696">
              <w:t>SCD</w:t>
            </w:r>
            <w:r w:rsidR="000457C9">
              <w:t>)</w:t>
            </w:r>
            <w:r w:rsidRPr="00D17696">
              <w:t>/Proprietor reports with the Board where appropriate.</w:t>
            </w:r>
          </w:p>
        </w:tc>
      </w:tr>
      <w:tr w:rsidRPr="00D17696" w:rsidR="00D17696" w:rsidTr="00DA7667" w14:paraId="14E39723" w14:textId="77777777">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5EB653AF" w14:textId="77777777">
            <w:r w:rsidRPr="00D17696">
              <w:t>Finance &amp; Operational Matters</w:t>
            </w:r>
          </w:p>
        </w:tc>
        <w:tc>
          <w:tcPr>
            <w:tcW w:w="2880" w:type="dxa"/>
          </w:tcPr>
          <w:p w:rsidRPr="00D17696" w:rsidR="00D17696" w:rsidP="007D234A" w:rsidRDefault="00D17696" w14:paraId="13B5408F" w14:textId="77777777">
            <w:pPr>
              <w:cnfStyle w:val="000000000000" w:firstRow="0" w:lastRow="0" w:firstColumn="0" w:lastColumn="0" w:oddVBand="0" w:evenVBand="0" w:oddHBand="0" w:evenHBand="0" w:firstRowFirstColumn="0" w:firstRowLastColumn="0" w:lastRowFirstColumn="0" w:lastRowLastColumn="0"/>
            </w:pPr>
            <w:r w:rsidRPr="00D17696">
              <w:t>Lack of understanding of restrictions on attendance dues.</w:t>
            </w:r>
          </w:p>
        </w:tc>
        <w:tc>
          <w:tcPr>
            <w:tcW w:w="2880" w:type="dxa"/>
          </w:tcPr>
          <w:p w:rsidRPr="00D17696" w:rsidR="00D17696" w:rsidP="007D234A" w:rsidRDefault="00D17696" w14:paraId="2B7A7B94" w14:textId="470F60B7">
            <w:pPr>
              <w:cnfStyle w:val="000000000000" w:firstRow="0" w:lastRow="0" w:firstColumn="0" w:lastColumn="0" w:oddVBand="0" w:evenVBand="0" w:oddHBand="0" w:evenHBand="0" w:firstRowFirstColumn="0" w:firstRowLastColumn="0" w:lastRowFirstColumn="0" w:lastRowLastColumn="0"/>
            </w:pPr>
            <w:r w:rsidRPr="00D17696">
              <w:t xml:space="preserve">Include a plain-language attendance dues explainer in the governance manual and </w:t>
            </w:r>
            <w:r w:rsidRPr="00D17696" w:rsidR="00533BF4">
              <w:t>parental</w:t>
            </w:r>
            <w:r w:rsidRPr="00D17696">
              <w:t xml:space="preserve"> information; provide annual refresher to the Board and key staff; ensure communications to whānau are consistent with Proprietor policy.</w:t>
            </w:r>
          </w:p>
        </w:tc>
      </w:tr>
    </w:tbl>
    <w:p w:rsidRPr="00D17696" w:rsidR="00D17696" w:rsidP="007D234A" w:rsidRDefault="00D17696" w14:paraId="7A29E04B" w14:textId="77777777">
      <w:pPr>
        <w:rPr>
          <w:lang w:eastAsia="en-US"/>
        </w:rPr>
      </w:pPr>
    </w:p>
    <w:p w:rsidRPr="00D17696" w:rsidR="00D17696" w:rsidP="007D234A" w:rsidRDefault="00D17696" w14:paraId="2F45DC3C" w14:textId="65775908">
      <w:pPr>
        <w:pStyle w:val="Heading2"/>
        <w:rPr>
          <w:lang w:eastAsia="en-US"/>
        </w:rPr>
      </w:pPr>
      <w:bookmarkStart w:name="_Toc212127271" w:id="19"/>
      <w:bookmarkStart w:name="_Toc214449726" w:id="20"/>
      <w:r w:rsidRPr="00D17696">
        <w:rPr>
          <w:lang w:eastAsia="en-US"/>
        </w:rPr>
        <w:t>Appendix B – Financial and Property Processes</w:t>
      </w:r>
      <w:bookmarkEnd w:id="19"/>
      <w:bookmarkEnd w:id="20"/>
    </w:p>
    <w:p w:rsidRPr="00D17696" w:rsidR="00D17696" w:rsidP="007D234A" w:rsidRDefault="00D17696" w14:paraId="261EB195" w14:textId="6CB15A8D">
      <w:pPr>
        <w:pStyle w:val="ListParagraph"/>
        <w:numPr>
          <w:ilvl w:val="0"/>
          <w:numId w:val="23"/>
        </w:numPr>
        <w:rPr>
          <w:lang w:eastAsia="en-US"/>
        </w:rPr>
      </w:pPr>
      <w:r w:rsidRPr="00D17696">
        <w:rPr>
          <w:lang w:eastAsia="en-US"/>
        </w:rPr>
        <w:t xml:space="preserve">All financial transactions must follow </w:t>
      </w:r>
      <w:r w:rsidR="005670D0">
        <w:rPr>
          <w:lang w:eastAsia="en-US"/>
        </w:rPr>
        <w:t xml:space="preserve">approved </w:t>
      </w:r>
      <w:r w:rsidRPr="00D17696">
        <w:rPr>
          <w:lang w:eastAsia="en-US"/>
        </w:rPr>
        <w:t xml:space="preserve">formal </w:t>
      </w:r>
      <w:proofErr w:type="gramStart"/>
      <w:r w:rsidRPr="00D17696">
        <w:rPr>
          <w:lang w:eastAsia="en-US"/>
        </w:rPr>
        <w:t>invoicing</w:t>
      </w:r>
      <w:proofErr w:type="gramEnd"/>
      <w:r w:rsidRPr="00D17696">
        <w:rPr>
          <w:lang w:eastAsia="en-US"/>
        </w:rPr>
        <w:t>.</w:t>
      </w:r>
    </w:p>
    <w:p w:rsidRPr="00D17696" w:rsidR="00D17696" w:rsidP="007D234A" w:rsidRDefault="00D17696" w14:paraId="028F550F" w14:textId="6EC68FDA">
      <w:pPr>
        <w:pStyle w:val="ListParagraph"/>
        <w:numPr>
          <w:ilvl w:val="0"/>
          <w:numId w:val="23"/>
        </w:numPr>
        <w:rPr>
          <w:lang w:eastAsia="en-US"/>
        </w:rPr>
      </w:pPr>
      <w:r w:rsidRPr="00D17696">
        <w:rPr>
          <w:lang w:eastAsia="en-US"/>
        </w:rPr>
        <w:t>Neither party may incur obligations on behalf of the other.</w:t>
      </w:r>
    </w:p>
    <w:p w:rsidRPr="00D17696" w:rsidR="00D17696" w:rsidP="007D234A" w:rsidRDefault="00D17696" w14:paraId="4FBECF34" w14:textId="08B972F9">
      <w:pPr>
        <w:pStyle w:val="ListParagraph"/>
        <w:numPr>
          <w:ilvl w:val="0"/>
          <w:numId w:val="23"/>
        </w:numPr>
        <w:rPr>
          <w:lang w:eastAsia="en-US"/>
        </w:rPr>
      </w:pPr>
      <w:r w:rsidRPr="00D17696">
        <w:rPr>
          <w:lang w:eastAsia="en-US"/>
        </w:rPr>
        <w:t xml:space="preserve">Attendance dues: Proprietor consults with Board before </w:t>
      </w:r>
      <w:r w:rsidRPr="009705D0" w:rsidR="009705D0">
        <w:rPr>
          <w:lang w:eastAsia="en-US"/>
        </w:rPr>
        <w:t xml:space="preserve">enacting the Ministry of Education approved </w:t>
      </w:r>
      <w:r w:rsidRPr="00D17696">
        <w:rPr>
          <w:lang w:eastAsia="en-US"/>
        </w:rPr>
        <w:t>levels (ETA Sch 6 s30).</w:t>
      </w:r>
    </w:p>
    <w:p w:rsidR="00D17696" w:rsidP="007D234A" w:rsidRDefault="00D17696" w14:paraId="661FE4EB" w14:textId="4EBF4EB3">
      <w:pPr>
        <w:pStyle w:val="ListParagraph"/>
        <w:numPr>
          <w:ilvl w:val="0"/>
          <w:numId w:val="23"/>
        </w:numPr>
        <w:rPr>
          <w:lang w:eastAsia="en-US"/>
        </w:rPr>
      </w:pPr>
      <w:r w:rsidRPr="00D17696">
        <w:rPr>
          <w:lang w:eastAsia="en-US"/>
        </w:rPr>
        <w:t>Special Character Donations may be collected by either party; both report annually.</w:t>
      </w:r>
    </w:p>
    <w:p w:rsidRPr="00D17696" w:rsidR="00390DF5" w:rsidP="007D234A" w:rsidRDefault="00390DF5" w14:paraId="4B7BE001" w14:textId="07D14093">
      <w:pPr>
        <w:pStyle w:val="ListParagraph"/>
        <w:numPr>
          <w:ilvl w:val="0"/>
          <w:numId w:val="23"/>
        </w:numPr>
        <w:rPr>
          <w:lang w:eastAsia="en-US"/>
        </w:rPr>
      </w:pPr>
      <w:r>
        <w:rPr>
          <w:lang w:eastAsia="en-US"/>
        </w:rPr>
        <w:t xml:space="preserve">Special Character Donations </w:t>
      </w:r>
      <w:r w:rsidR="00543F04">
        <w:rPr>
          <w:lang w:eastAsia="en-US"/>
        </w:rPr>
        <w:t xml:space="preserve">requested by </w:t>
      </w:r>
      <w:r w:rsidR="00720E06">
        <w:rPr>
          <w:lang w:eastAsia="en-US"/>
        </w:rPr>
        <w:t xml:space="preserve">the school board </w:t>
      </w:r>
      <w:r w:rsidR="00543F04">
        <w:rPr>
          <w:lang w:eastAsia="en-US"/>
        </w:rPr>
        <w:t>for their purposes cannot</w:t>
      </w:r>
      <w:r w:rsidR="00720E06">
        <w:rPr>
          <w:lang w:eastAsia="en-US"/>
        </w:rPr>
        <w:t xml:space="preserve"> be transferred to the proprietor</w:t>
      </w:r>
      <w:r w:rsidR="00543F04">
        <w:rPr>
          <w:lang w:eastAsia="en-US"/>
        </w:rPr>
        <w:t>.</w:t>
      </w:r>
    </w:p>
    <w:p w:rsidRPr="00D17696" w:rsidR="00D17696" w:rsidP="007D234A" w:rsidRDefault="00D17696" w14:paraId="709DF2D8" w14:textId="1F73CA1D">
      <w:pPr>
        <w:pStyle w:val="ListParagraph"/>
        <w:numPr>
          <w:ilvl w:val="0"/>
          <w:numId w:val="23"/>
        </w:numPr>
        <w:rPr>
          <w:lang w:eastAsia="en-US"/>
        </w:rPr>
      </w:pPr>
      <w:r w:rsidRPr="00D17696">
        <w:rPr>
          <w:lang w:eastAsia="en-US"/>
        </w:rPr>
        <w:t>Fundraising for capital assets recorded as Proprietor property.</w:t>
      </w:r>
    </w:p>
    <w:p w:rsidRPr="00D17696" w:rsidR="00D17696" w:rsidP="007D234A" w:rsidRDefault="00D17696" w14:paraId="767A42C0" w14:textId="60DAC3AB">
      <w:pPr>
        <w:pStyle w:val="ListParagraph"/>
        <w:numPr>
          <w:ilvl w:val="0"/>
          <w:numId w:val="23"/>
        </w:numPr>
        <w:rPr>
          <w:lang w:eastAsia="en-US"/>
        </w:rPr>
      </w:pPr>
      <w:r w:rsidRPr="00D17696">
        <w:rPr>
          <w:lang w:eastAsia="en-US"/>
        </w:rPr>
        <w:t>Policy 1 Funding (10YPP) managed by Proprietor with Board input.</w:t>
      </w:r>
    </w:p>
    <w:p w:rsidRPr="00D17696" w:rsidR="00D17696" w:rsidP="007D234A" w:rsidRDefault="00D17696" w14:paraId="4B5FAA5F" w14:textId="3A29300A">
      <w:pPr>
        <w:pStyle w:val="ListParagraph"/>
        <w:numPr>
          <w:ilvl w:val="0"/>
          <w:numId w:val="23"/>
        </w:numPr>
        <w:rPr>
          <w:lang w:eastAsia="en-US"/>
        </w:rPr>
      </w:pPr>
      <w:r w:rsidRPr="00D17696">
        <w:rPr>
          <w:lang w:eastAsia="en-US"/>
        </w:rPr>
        <w:t>Furniture &amp; Equipment grants remain Board property; usage reported to Proprietor.</w:t>
      </w:r>
    </w:p>
    <w:p w:rsidRPr="00D17696" w:rsidR="00D17696" w:rsidP="007D234A" w:rsidRDefault="00D17696" w14:paraId="3017EAA2" w14:textId="1CF93ACC">
      <w:pPr>
        <w:pStyle w:val="ListParagraph"/>
        <w:numPr>
          <w:ilvl w:val="0"/>
          <w:numId w:val="23"/>
        </w:numPr>
        <w:rPr>
          <w:lang w:eastAsia="en-US"/>
        </w:rPr>
      </w:pPr>
      <w:r w:rsidRPr="00D17696">
        <w:rPr>
          <w:lang w:eastAsia="en-US"/>
        </w:rPr>
        <w:t xml:space="preserve">International students: Board </w:t>
      </w:r>
      <w:r w:rsidR="005D01D7">
        <w:rPr>
          <w:lang w:eastAsia="en-US"/>
        </w:rPr>
        <w:t xml:space="preserve">collects </w:t>
      </w:r>
      <w:r w:rsidRPr="00D17696">
        <w:rPr>
          <w:lang w:eastAsia="en-US"/>
        </w:rPr>
        <w:t>attendance</w:t>
      </w:r>
      <w:r w:rsidRPr="00995985" w:rsidR="00995985">
        <w:t xml:space="preserve"> </w:t>
      </w:r>
      <w:r w:rsidRPr="00D17696" w:rsidR="00995985">
        <w:t>d</w:t>
      </w:r>
      <w:r w:rsidRPr="00120872" w:rsidR="00995985">
        <w:t>ues on behalf of the proprietor and forwards this to the proprietor in a timely manner</w:t>
      </w:r>
      <w:r w:rsidRPr="00120872">
        <w:rPr>
          <w:lang w:eastAsia="en-US"/>
        </w:rPr>
        <w:t>.</w:t>
      </w:r>
    </w:p>
    <w:p w:rsidRPr="00D17696" w:rsidR="00D17696" w:rsidP="007D234A" w:rsidRDefault="00D17696" w14:paraId="209126D0" w14:textId="6DE2E1F7">
      <w:pPr>
        <w:pStyle w:val="ListParagraph"/>
        <w:numPr>
          <w:ilvl w:val="0"/>
          <w:numId w:val="23"/>
        </w:numPr>
        <w:rPr>
          <w:lang w:eastAsia="en-US"/>
        </w:rPr>
      </w:pPr>
      <w:r w:rsidRPr="00D17696">
        <w:rPr>
          <w:lang w:eastAsia="en-US"/>
        </w:rPr>
        <w:t>Maintenance: Joint responsibility under MoE property guidelines.</w:t>
      </w:r>
    </w:p>
    <w:p w:rsidRPr="00D17696" w:rsidR="00D17696" w:rsidP="007D234A" w:rsidRDefault="00D17696" w14:paraId="7B8ACADB" w14:textId="0F3B6081">
      <w:pPr>
        <w:pStyle w:val="ListParagraph"/>
        <w:numPr>
          <w:ilvl w:val="0"/>
          <w:numId w:val="23"/>
        </w:numPr>
        <w:rPr>
          <w:lang w:eastAsia="en-US"/>
        </w:rPr>
      </w:pPr>
      <w:r w:rsidRPr="00D17696">
        <w:rPr>
          <w:lang w:eastAsia="en-US"/>
        </w:rPr>
        <w:t xml:space="preserve">Insurance: Each party </w:t>
      </w:r>
      <w:proofErr w:type="gramStart"/>
      <w:r w:rsidRPr="00D17696">
        <w:rPr>
          <w:lang w:eastAsia="en-US"/>
        </w:rPr>
        <w:t>insures</w:t>
      </w:r>
      <w:proofErr w:type="gramEnd"/>
      <w:r w:rsidRPr="00D17696">
        <w:rPr>
          <w:lang w:eastAsia="en-US"/>
        </w:rPr>
        <w:t xml:space="preserve"> separately and shares insurer details annually.</w:t>
      </w:r>
    </w:p>
    <w:p w:rsidRPr="00D17696" w:rsidR="00D17696" w:rsidP="00B72866" w:rsidRDefault="00B72866" w14:paraId="169536D6" w14:textId="4F2A75AB">
      <w:pPr>
        <w:pStyle w:val="ListParagraph"/>
        <w:numPr>
          <w:ilvl w:val="0"/>
          <w:numId w:val="23"/>
        </w:numPr>
        <w:rPr>
          <w:lang w:eastAsia="en-US"/>
        </w:rPr>
      </w:pPr>
      <w:r>
        <w:rPr>
          <w:lang w:eastAsia="en-US"/>
        </w:rPr>
        <w:t>Revenue from e</w:t>
      </w:r>
      <w:r w:rsidRPr="00D17696" w:rsidR="00D17696">
        <w:rPr>
          <w:lang w:eastAsia="en-US"/>
        </w:rPr>
        <w:t>xternal use</w:t>
      </w:r>
      <w:r w:rsidR="00363F25">
        <w:rPr>
          <w:lang w:eastAsia="en-US"/>
        </w:rPr>
        <w:t xml:space="preserve"> of property</w:t>
      </w:r>
      <w:r w:rsidRPr="00D17696" w:rsidR="00D17696">
        <w:rPr>
          <w:lang w:eastAsia="en-US"/>
        </w:rPr>
        <w:t>: Board manages; surplus revenue shared by agreement.</w:t>
      </w:r>
    </w:p>
    <w:p w:rsidRPr="00D17696" w:rsidR="00D17696" w:rsidP="007D234A" w:rsidRDefault="00D17696" w14:paraId="75656C35" w14:textId="24FEFC03">
      <w:pPr>
        <w:pStyle w:val="ListParagraph"/>
        <w:numPr>
          <w:ilvl w:val="0"/>
          <w:numId w:val="23"/>
        </w:numPr>
        <w:rPr>
          <w:lang w:eastAsia="en-US"/>
        </w:rPr>
      </w:pPr>
      <w:r w:rsidRPr="00D17696">
        <w:rPr>
          <w:lang w:eastAsia="en-US"/>
        </w:rPr>
        <w:t xml:space="preserve">Proprietor offices on </w:t>
      </w:r>
      <w:proofErr w:type="gramStart"/>
      <w:r w:rsidRPr="00D17696">
        <w:rPr>
          <w:lang w:eastAsia="en-US"/>
        </w:rPr>
        <w:t>site:</w:t>
      </w:r>
      <w:proofErr w:type="gramEnd"/>
      <w:r w:rsidRPr="00D17696">
        <w:rPr>
          <w:lang w:eastAsia="en-US"/>
        </w:rPr>
        <w:t xml:space="preserve"> </w:t>
      </w:r>
      <w:proofErr w:type="gramStart"/>
      <w:r w:rsidRPr="00D17696">
        <w:rPr>
          <w:lang w:eastAsia="en-US"/>
        </w:rPr>
        <w:t>contributes</w:t>
      </w:r>
      <w:proofErr w:type="gramEnd"/>
      <w:r w:rsidRPr="00D17696">
        <w:rPr>
          <w:lang w:eastAsia="en-US"/>
        </w:rPr>
        <w:t xml:space="preserve"> to shared services such as power and IT.</w:t>
      </w:r>
    </w:p>
    <w:p w:rsidRPr="00D17696" w:rsidR="00D17696" w:rsidP="00D95C79" w:rsidRDefault="00D17696" w14:paraId="0B5F7480" w14:textId="675E94D0">
      <w:pPr>
        <w:pStyle w:val="Heading2"/>
        <w:rPr>
          <w:lang w:eastAsia="en-US"/>
        </w:rPr>
      </w:pPr>
      <w:bookmarkStart w:name="_Toc214449727" w:id="21"/>
      <w:bookmarkStart w:name="_Toc212127273" w:id="22"/>
      <w:r w:rsidRPr="00D17696">
        <w:rPr>
          <w:lang w:eastAsia="en-US"/>
        </w:rPr>
        <w:t>Appendix C – Special Character Guidelines</w:t>
      </w:r>
      <w:bookmarkEnd w:id="21"/>
      <w:r w:rsidRPr="00D17696">
        <w:rPr>
          <w:lang w:eastAsia="en-US"/>
        </w:rPr>
        <w:t xml:space="preserve"> </w:t>
      </w:r>
    </w:p>
    <w:p w:rsidRPr="00D17696" w:rsidR="00D17696" w:rsidP="00D95C79" w:rsidRDefault="00D17696" w14:paraId="6805158F" w14:textId="77777777">
      <w:pPr>
        <w:pStyle w:val="Heading3"/>
      </w:pPr>
      <w:r w:rsidRPr="00D17696">
        <w:t>1. Purpose and Authority</w:t>
      </w:r>
    </w:p>
    <w:p w:rsidR="00D17696" w:rsidP="007D234A" w:rsidRDefault="00D17696" w14:paraId="2618FE98" w14:textId="7CA7CB15">
      <w:r>
        <w:t xml:space="preserve">These Special Character Guidelines are provided by the Proprietor in accordance with Schedule 6, Section 39 of the Education and Training Act 2020. </w:t>
      </w:r>
      <w:r w:rsidR="00B5546A">
        <w:t>In addition to the Integration Agreement, t</w:t>
      </w:r>
      <w:r>
        <w:t>hey articulate how the school’s special character is expressed, preserved, and enhanced in governance, leadership, and daily operation.</w:t>
      </w:r>
    </w:p>
    <w:p w:rsidR="00D17696" w:rsidP="00D95C79" w:rsidRDefault="00D17696" w14:paraId="27EBD96C" w14:textId="77777777">
      <w:pPr>
        <w:pStyle w:val="Heading3"/>
      </w:pPr>
      <w:r w:rsidRPr="00D17696">
        <w:t>2. Scope of the Guidelines</w:t>
      </w:r>
    </w:p>
    <w:p w:rsidR="00D17696" w:rsidP="007D234A" w:rsidRDefault="00D17696" w14:paraId="1E00D3A9" w14:textId="77777777">
      <w:r>
        <w:t>The guidelines apply to all aspects of school life, including governance, leadership, curriculum, pastoral care, community relationships, and communication. They are to be used by the Board, Principal, and staff to ensure every aspect of school operation reflects and promotes the Proprietor’s defined special character.</w:t>
      </w:r>
    </w:p>
    <w:p w:rsidRPr="00D17696" w:rsidR="00D17696" w:rsidP="00D95C79" w:rsidRDefault="00D17696" w14:paraId="20C4C28D" w14:textId="77777777">
      <w:pPr>
        <w:pStyle w:val="Heading3"/>
      </w:pPr>
      <w:r w:rsidRPr="007D234A">
        <w:t>3.</w:t>
      </w:r>
      <w:r>
        <w:t xml:space="preserve"> </w:t>
      </w:r>
      <w:r w:rsidRPr="00D17696">
        <w:t>Formation and Induction</w:t>
      </w:r>
    </w:p>
    <w:p w:rsidR="00D17696" w:rsidP="007D234A" w:rsidRDefault="00D17696" w14:paraId="376871FE" w14:textId="77777777">
      <w:pPr>
        <w:pStyle w:val="ListParagraph"/>
        <w:numPr>
          <w:ilvl w:val="0"/>
          <w:numId w:val="25"/>
        </w:numPr>
      </w:pPr>
      <w:r>
        <w:t>All Board members and staff participate in induction and ongoing formation to deepen understanding of the special character.</w:t>
      </w:r>
    </w:p>
    <w:p w:rsidR="00D17696" w:rsidP="007D234A" w:rsidRDefault="00D17696" w14:paraId="3CE9DDCA" w14:textId="77777777">
      <w:pPr>
        <w:pStyle w:val="ListParagraph"/>
        <w:numPr>
          <w:ilvl w:val="0"/>
          <w:numId w:val="25"/>
        </w:numPr>
      </w:pPr>
      <w:r>
        <w:t>Induction includes the history, values, and mission of the Proprietor, as well as expectations for conduct and decision-making.</w:t>
      </w:r>
    </w:p>
    <w:p w:rsidR="00D17696" w:rsidP="007D234A" w:rsidRDefault="00D17696" w14:paraId="72EE50EB" w14:textId="77777777">
      <w:pPr>
        <w:pStyle w:val="ListParagraph"/>
        <w:numPr>
          <w:ilvl w:val="0"/>
          <w:numId w:val="25"/>
        </w:numPr>
      </w:pPr>
      <w:r>
        <w:t>Annual professional development and retreat opportunities should reinforce the school’s ethos and identity.</w:t>
      </w:r>
    </w:p>
    <w:p w:rsidR="00D17696" w:rsidP="007D234A" w:rsidRDefault="00D17696" w14:paraId="3BA32C9A" w14:textId="77777777">
      <w:pPr>
        <w:pStyle w:val="ListParagraph"/>
        <w:numPr>
          <w:ilvl w:val="0"/>
          <w:numId w:val="25"/>
        </w:numPr>
      </w:pPr>
      <w:r>
        <w:t>Tagged or special-character positions require explicit affirmation of support for the school’s special character.</w:t>
      </w:r>
    </w:p>
    <w:p w:rsidR="007716E8" w:rsidP="007D234A" w:rsidRDefault="00F312F7" w14:paraId="7577063A" w14:textId="16B81ED9">
      <w:pPr>
        <w:pStyle w:val="ListParagraph"/>
        <w:numPr>
          <w:ilvl w:val="0"/>
          <w:numId w:val="25"/>
        </w:numPr>
      </w:pPr>
      <w:r>
        <w:t xml:space="preserve">Ensure the function and role description of the proprietor appointee on the board is clearly understood. </w:t>
      </w:r>
    </w:p>
    <w:p w:rsidRPr="00D17696" w:rsidR="00D17696" w:rsidP="00D95C79" w:rsidRDefault="00D17696" w14:paraId="7DF2D2B4" w14:textId="77777777">
      <w:pPr>
        <w:pStyle w:val="Heading3"/>
      </w:pPr>
      <w:r w:rsidRPr="00D17696">
        <w:t>4. Review and Evaluation</w:t>
      </w:r>
    </w:p>
    <w:p w:rsidR="00D17696" w:rsidP="007D234A" w:rsidRDefault="000177DF" w14:paraId="678A3D86" w14:textId="0869F61A">
      <w:pPr>
        <w:pStyle w:val="ListParagraph"/>
        <w:numPr>
          <w:ilvl w:val="0"/>
          <w:numId w:val="26"/>
        </w:numPr>
      </w:pPr>
      <w:r>
        <w:t xml:space="preserve">An external </w:t>
      </w:r>
      <w:r w:rsidR="00D17696">
        <w:t>Special Character Review will be conducted by the Proprietor to evaluate how effectively the school expresses its special character</w:t>
      </w:r>
      <w:r w:rsidR="005B6144">
        <w:t xml:space="preserve"> at least every three years</w:t>
      </w:r>
      <w:r w:rsidR="00D17696">
        <w:t>.</w:t>
      </w:r>
    </w:p>
    <w:p w:rsidR="00D17696" w:rsidP="007D234A" w:rsidRDefault="00D17696" w14:paraId="3D671A84" w14:textId="77777777">
      <w:pPr>
        <w:pStyle w:val="ListParagraph"/>
        <w:numPr>
          <w:ilvl w:val="0"/>
          <w:numId w:val="26"/>
        </w:numPr>
      </w:pPr>
      <w:r>
        <w:t>The Board participates in the review, receiving feedback and identifying actions for continuous improvement.</w:t>
      </w:r>
    </w:p>
    <w:p w:rsidR="00D17696" w:rsidP="007D234A" w:rsidRDefault="00D17696" w14:paraId="377115D1" w14:textId="77777777">
      <w:pPr>
        <w:pStyle w:val="ListParagraph"/>
        <w:numPr>
          <w:ilvl w:val="0"/>
          <w:numId w:val="26"/>
        </w:numPr>
      </w:pPr>
      <w:r>
        <w:t>Findings from the review inform the renewal of this Memorandum of Understanding and school strategic planning.</w:t>
      </w:r>
    </w:p>
    <w:p w:rsidR="00D17696" w:rsidP="007D234A" w:rsidRDefault="00D17696" w14:paraId="085EC0EE" w14:textId="77777777">
      <w:pPr>
        <w:pStyle w:val="ListParagraph"/>
        <w:numPr>
          <w:ilvl w:val="0"/>
          <w:numId w:val="26"/>
        </w:numPr>
      </w:pPr>
      <w:r>
        <w:t>The Proprietor provides a summary report following each review, which is recorded in the Board’s minutes.</w:t>
      </w:r>
    </w:p>
    <w:p w:rsidR="008E4D85" w:rsidP="007D234A" w:rsidRDefault="008E4D85" w14:paraId="07AC44F4" w14:textId="3737C07E">
      <w:pPr>
        <w:pStyle w:val="ListParagraph"/>
        <w:numPr>
          <w:ilvl w:val="0"/>
          <w:numId w:val="26"/>
        </w:numPr>
      </w:pPr>
      <w:r>
        <w:t>The Board will carry out a yearly internal review of special character</w:t>
      </w:r>
      <w:r w:rsidR="00820B55">
        <w:t xml:space="preserve"> based on meeting the special character goals set out in the annual plan.</w:t>
      </w:r>
    </w:p>
    <w:p w:rsidRPr="00D17696" w:rsidR="00D17696" w:rsidP="00D95C79" w:rsidRDefault="00D17696" w14:paraId="361C214F" w14:textId="77777777">
      <w:pPr>
        <w:pStyle w:val="Heading3"/>
      </w:pPr>
      <w:r w:rsidRPr="00D17696">
        <w:t>5. Decision-Making Alignment</w:t>
      </w:r>
    </w:p>
    <w:p w:rsidR="00D17696" w:rsidP="007D234A" w:rsidRDefault="00D17696" w14:paraId="7036AC09" w14:textId="77777777">
      <w:pPr>
        <w:pStyle w:val="ListParagraph"/>
        <w:numPr>
          <w:ilvl w:val="0"/>
          <w:numId w:val="27"/>
        </w:numPr>
      </w:pPr>
      <w:r>
        <w:t>All policies, planning, and governance decisions must align with the Proprietor’s Special Character Guidelines.</w:t>
      </w:r>
    </w:p>
    <w:p w:rsidR="00D17696" w:rsidP="007D234A" w:rsidRDefault="00D17696" w14:paraId="7C72DB63" w14:textId="77777777">
      <w:pPr>
        <w:pStyle w:val="ListParagraph"/>
        <w:numPr>
          <w:ilvl w:val="0"/>
          <w:numId w:val="27"/>
        </w:numPr>
      </w:pPr>
      <w:r>
        <w:t>When employment, curriculum, or policy decisions have implications for the special character, consultation with the Proprietor is required.</w:t>
      </w:r>
    </w:p>
    <w:p w:rsidRPr="00C07397" w:rsidR="00D17696" w:rsidP="007D234A" w:rsidRDefault="00D17696" w14:paraId="5D576A8F" w14:textId="1F08C68F">
      <w:pPr>
        <w:pStyle w:val="ListParagraph"/>
        <w:numPr>
          <w:ilvl w:val="0"/>
          <w:numId w:val="27"/>
        </w:numPr>
      </w:pPr>
      <w:r>
        <w:t xml:space="preserve">The </w:t>
      </w:r>
      <w:r w:rsidR="00907732">
        <w:t>principal</w:t>
      </w:r>
      <w:r>
        <w:t xml:space="preserve"> ensures daily school practices reflect the character through visible symbols, </w:t>
      </w:r>
      <w:r w:rsidR="00C07397">
        <w:t>rituals, liturgical</w:t>
      </w:r>
      <w:r>
        <w:t xml:space="preserve"> </w:t>
      </w:r>
      <w:r w:rsidRPr="00C07397">
        <w:t>life</w:t>
      </w:r>
      <w:r w:rsidRPr="00C07397" w:rsidR="00C07397">
        <w:t xml:space="preserve"> (for faith-based state-integrated schools)</w:t>
      </w:r>
      <w:r w:rsidRPr="00C07397">
        <w:t>, and relationships within the school community.</w:t>
      </w:r>
    </w:p>
    <w:p w:rsidRPr="00D17696" w:rsidR="00D17696" w:rsidP="00D95C79" w:rsidRDefault="00D17696" w14:paraId="7D9FEB0E" w14:textId="77777777">
      <w:pPr>
        <w:pStyle w:val="Heading3"/>
      </w:pPr>
      <w:r w:rsidRPr="00D17696">
        <w:t>6. Dispute or Ambiguity Resolution</w:t>
      </w:r>
    </w:p>
    <w:p w:rsidR="00D17696" w:rsidP="007D234A" w:rsidRDefault="00D17696" w14:paraId="7B0962A1" w14:textId="77777777">
      <w:r>
        <w:t>Where questions arise about the interpretation or application of the special character, the matter should first be discussed collaboratively between the Proprietor and Board Chairs. If unresolved, the issue may be referred to APIS for advice or mediation, ensuring that the integrity of the special character is maintained.</w:t>
      </w:r>
    </w:p>
    <w:p w:rsidRPr="00D17696" w:rsidR="006C1ACC" w:rsidP="006C1ACC" w:rsidRDefault="006C1ACC" w14:paraId="5FAA01BD" w14:textId="3C88B976">
      <w:pPr>
        <w:pStyle w:val="Heading3"/>
      </w:pPr>
      <w:r>
        <w:t>7</w:t>
      </w:r>
      <w:r w:rsidRPr="00D17696">
        <w:t xml:space="preserve">. </w:t>
      </w:r>
      <w:r>
        <w:t>Curriculum</w:t>
      </w:r>
    </w:p>
    <w:p w:rsidR="006C1ACC" w:rsidP="007D234A" w:rsidRDefault="00FB2766" w14:paraId="637130B2" w14:textId="02707232">
      <w:r>
        <w:t xml:space="preserve">The proprietor cannot directly influence the curriculum </w:t>
      </w:r>
      <w:proofErr w:type="spellStart"/>
      <w:r>
        <w:t>programmes</w:t>
      </w:r>
      <w:proofErr w:type="spellEnd"/>
      <w:r>
        <w:t xml:space="preserve"> in the school or the teaching and learning. </w:t>
      </w:r>
      <w:r w:rsidR="000D03A7">
        <w:t xml:space="preserve">It is the role of the school board to ensure that the special </w:t>
      </w:r>
      <w:r w:rsidR="000743FB">
        <w:t>character,</w:t>
      </w:r>
      <w:r w:rsidR="000D03A7">
        <w:t xml:space="preserve"> as defined </w:t>
      </w:r>
      <w:r w:rsidR="000A6CA0">
        <w:t>by</w:t>
      </w:r>
      <w:r w:rsidR="000D03A7">
        <w:t xml:space="preserve"> the proprietor</w:t>
      </w:r>
      <w:r w:rsidR="00B82E0E">
        <w:t>,</w:t>
      </w:r>
      <w:r w:rsidR="000D03A7">
        <w:t xml:space="preserve"> is implemented </w:t>
      </w:r>
      <w:r w:rsidR="000A6CA0">
        <w:t xml:space="preserve">across the teaching and learning curriculum </w:t>
      </w:r>
      <w:proofErr w:type="spellStart"/>
      <w:r w:rsidR="000A6CA0">
        <w:t>programme</w:t>
      </w:r>
      <w:proofErr w:type="spellEnd"/>
      <w:r w:rsidR="000A6CA0">
        <w:t xml:space="preserve"> of the school. </w:t>
      </w:r>
    </w:p>
    <w:p w:rsidR="00B82E0E" w:rsidRDefault="00B82E0E" w14:paraId="148C6D00" w14:textId="1A61735C">
      <w:r>
        <w:br w:type="page"/>
      </w:r>
    </w:p>
    <w:p w:rsidRPr="00D17696" w:rsidR="00D17696" w:rsidP="00C54EA5" w:rsidRDefault="00D17696" w14:paraId="4434F0D4" w14:textId="77777777">
      <w:pPr>
        <w:pStyle w:val="Heading2"/>
        <w:rPr>
          <w:lang w:eastAsia="en-US"/>
        </w:rPr>
      </w:pPr>
      <w:bookmarkStart w:name="_Toc214449728" w:id="23"/>
      <w:r w:rsidRPr="00D17696">
        <w:rPr>
          <w:lang w:eastAsia="en-US"/>
        </w:rPr>
        <w:t>Appendix D – Communication and Consultation Checklist</w:t>
      </w:r>
      <w:bookmarkEnd w:id="22"/>
      <w:bookmarkEnd w:id="23"/>
    </w:p>
    <w:p w:rsidRPr="00D17696" w:rsidR="00D17696" w:rsidP="007D234A" w:rsidRDefault="00D17696" w14:paraId="3E07BC46" w14:textId="50C6B1DD">
      <w:pPr>
        <w:pStyle w:val="ListParagraph"/>
        <w:numPr>
          <w:ilvl w:val="0"/>
          <w:numId w:val="23"/>
        </w:numPr>
        <w:rPr>
          <w:lang w:eastAsia="en-US"/>
        </w:rPr>
      </w:pPr>
      <w:r w:rsidRPr="00D17696">
        <w:rPr>
          <w:lang w:eastAsia="en-US"/>
        </w:rPr>
        <w:t>Consult before public or media communication affecting either party.</w:t>
      </w:r>
    </w:p>
    <w:p w:rsidRPr="00D17696" w:rsidR="00D17696" w:rsidP="007D234A" w:rsidRDefault="00D17696" w14:paraId="49CE994E" w14:textId="7C3AC242">
      <w:pPr>
        <w:pStyle w:val="ListParagraph"/>
        <w:numPr>
          <w:ilvl w:val="0"/>
          <w:numId w:val="23"/>
        </w:numPr>
        <w:rPr>
          <w:lang w:eastAsia="en-US"/>
        </w:rPr>
      </w:pPr>
      <w:r w:rsidRPr="00D17696">
        <w:rPr>
          <w:lang w:eastAsia="en-US"/>
        </w:rPr>
        <w:t>Hold at least one liaison meeting per term.</w:t>
      </w:r>
    </w:p>
    <w:p w:rsidRPr="00D17696" w:rsidR="00D17696" w:rsidP="007D234A" w:rsidRDefault="00D17696" w14:paraId="15DC10F1" w14:textId="401D40C6">
      <w:pPr>
        <w:pStyle w:val="ListParagraph"/>
        <w:numPr>
          <w:ilvl w:val="0"/>
          <w:numId w:val="23"/>
        </w:numPr>
        <w:rPr>
          <w:lang w:eastAsia="en-US"/>
        </w:rPr>
      </w:pPr>
      <w:r w:rsidRPr="00D17696">
        <w:rPr>
          <w:lang w:eastAsia="en-US"/>
        </w:rPr>
        <w:t>Conduct annual joint planning sessions (roll, staffing, property, special character).</w:t>
      </w:r>
    </w:p>
    <w:p w:rsidRPr="00D17696" w:rsidR="00D17696" w:rsidP="007D234A" w:rsidRDefault="00D17696" w14:paraId="3682AB98" w14:textId="5EF7685C">
      <w:pPr>
        <w:pStyle w:val="ListParagraph"/>
        <w:numPr>
          <w:ilvl w:val="0"/>
          <w:numId w:val="23"/>
        </w:numPr>
        <w:rPr>
          <w:lang w:eastAsia="en-US"/>
        </w:rPr>
      </w:pPr>
      <w:r w:rsidRPr="00D17696">
        <w:rPr>
          <w:lang w:eastAsia="en-US"/>
        </w:rPr>
        <w:t>Record meeting outcomes and actions in writing.</w:t>
      </w:r>
    </w:p>
    <w:p w:rsidRPr="00D17696" w:rsidR="00D17696" w:rsidP="007D234A" w:rsidRDefault="00D17696" w14:paraId="4DFDA8FB" w14:textId="5EBCF3AB">
      <w:pPr>
        <w:pStyle w:val="ListParagraph"/>
        <w:numPr>
          <w:ilvl w:val="0"/>
          <w:numId w:val="23"/>
        </w:numPr>
        <w:rPr>
          <w:lang w:eastAsia="en-US"/>
        </w:rPr>
      </w:pPr>
      <w:r w:rsidRPr="00D17696">
        <w:rPr>
          <w:lang w:eastAsia="en-US"/>
        </w:rPr>
        <w:t>Use the agreed dispute-resolution process</w:t>
      </w:r>
    </w:p>
    <w:p w:rsidRPr="00D17696" w:rsidR="00D17696" w:rsidP="00D95C79" w:rsidRDefault="00D17696" w14:paraId="174878F5" w14:textId="4C9D6D57">
      <w:pPr>
        <w:pStyle w:val="Heading2"/>
        <w:rPr>
          <w:lang w:eastAsia="en-US"/>
        </w:rPr>
      </w:pPr>
      <w:bookmarkStart w:name="_Toc212127274" w:id="24"/>
      <w:bookmarkStart w:name="_Toc214449729" w:id="25"/>
      <w:r w:rsidRPr="00D17696">
        <w:rPr>
          <w:lang w:eastAsia="en-US"/>
        </w:rPr>
        <w:t>Appendix E – Governance and Legislative References</w:t>
      </w:r>
      <w:bookmarkEnd w:id="24"/>
      <w:bookmarkEnd w:id="25"/>
    </w:p>
    <w:p w:rsidRPr="00D17696" w:rsidR="00D17696" w:rsidP="007D234A" w:rsidRDefault="00D17696" w14:paraId="52550553" w14:textId="34A4A124">
      <w:pPr>
        <w:pStyle w:val="ListParagraph"/>
        <w:numPr>
          <w:ilvl w:val="0"/>
          <w:numId w:val="23"/>
        </w:numPr>
        <w:rPr>
          <w:lang w:eastAsia="en-US"/>
        </w:rPr>
      </w:pPr>
      <w:r w:rsidRPr="00D17696">
        <w:rPr>
          <w:lang w:eastAsia="en-US"/>
        </w:rPr>
        <w:t>Education and Training Act 2020 (Schedule 6).</w:t>
      </w:r>
    </w:p>
    <w:p w:rsidRPr="00D17696" w:rsidR="00D17696" w:rsidP="007D234A" w:rsidRDefault="00D17696" w14:paraId="22BA3571" w14:textId="218661B0">
      <w:pPr>
        <w:pStyle w:val="ListParagraph"/>
        <w:numPr>
          <w:ilvl w:val="0"/>
          <w:numId w:val="23"/>
        </w:numPr>
        <w:rPr>
          <w:lang w:eastAsia="en-US"/>
        </w:rPr>
      </w:pPr>
      <w:r w:rsidRPr="00D17696">
        <w:rPr>
          <w:lang w:eastAsia="en-US"/>
        </w:rPr>
        <w:t>Private Schools Conditional Integration Act 1975. (now Schedule 6 of the Education and Training Act 2020)</w:t>
      </w:r>
    </w:p>
    <w:p w:rsidRPr="00D17696" w:rsidR="00D17696" w:rsidP="007D234A" w:rsidRDefault="00D17696" w14:paraId="5CA1064B" w14:textId="2F929DE7">
      <w:pPr>
        <w:pStyle w:val="ListParagraph"/>
        <w:numPr>
          <w:ilvl w:val="0"/>
          <w:numId w:val="23"/>
        </w:numPr>
        <w:rPr>
          <w:lang w:eastAsia="en-US"/>
        </w:rPr>
      </w:pPr>
      <w:r w:rsidRPr="00D17696">
        <w:rPr>
          <w:lang w:eastAsia="en-US"/>
        </w:rPr>
        <w:t>Integration Agreement (between Proprietor and the Crown).</w:t>
      </w:r>
    </w:p>
    <w:p w:rsidRPr="00D17696" w:rsidR="00D17696" w:rsidP="007D234A" w:rsidRDefault="00D17696" w14:paraId="287B47B6" w14:textId="3D7259B1">
      <w:pPr>
        <w:pStyle w:val="ListParagraph"/>
        <w:numPr>
          <w:ilvl w:val="0"/>
          <w:numId w:val="23"/>
        </w:numPr>
        <w:rPr>
          <w:lang w:eastAsia="en-US"/>
        </w:rPr>
      </w:pPr>
      <w:r w:rsidRPr="00D17696">
        <w:rPr>
          <w:lang w:eastAsia="en-US"/>
        </w:rPr>
        <w:t>APIS/MoE Property Protocols (March 2010).</w:t>
      </w:r>
    </w:p>
    <w:p w:rsidRPr="00D17696" w:rsidR="00D17696" w:rsidP="007D234A" w:rsidRDefault="00D17696" w14:paraId="1C7ACA24" w14:textId="685D3675">
      <w:pPr>
        <w:pStyle w:val="ListParagraph"/>
        <w:numPr>
          <w:ilvl w:val="0"/>
          <w:numId w:val="23"/>
        </w:numPr>
        <w:rPr>
          <w:lang w:eastAsia="en-US"/>
        </w:rPr>
      </w:pPr>
      <w:r w:rsidRPr="00D17696">
        <w:rPr>
          <w:lang w:eastAsia="en-US"/>
        </w:rPr>
        <w:t xml:space="preserve">Proprietor’s Special Character Guidelines </w:t>
      </w:r>
    </w:p>
    <w:p w:rsidRPr="00D17696" w:rsidR="00D17696" w:rsidP="00D95C79" w:rsidRDefault="00D17696" w14:paraId="1B1FD489" w14:textId="77777777">
      <w:pPr>
        <w:pStyle w:val="Heading2"/>
        <w:rPr>
          <w:lang w:eastAsia="en-US"/>
        </w:rPr>
      </w:pPr>
      <w:bookmarkStart w:name="_Toc214449730" w:id="26"/>
      <w:r w:rsidRPr="00D17696">
        <w:rPr>
          <w:lang w:eastAsia="en-US"/>
        </w:rPr>
        <w:t>Appendix F – Annual Governance Calendar</w:t>
      </w:r>
      <w:bookmarkEnd w:id="26"/>
    </w:p>
    <w:p w:rsidRPr="00D17696" w:rsidR="00D17696" w:rsidP="007D234A" w:rsidRDefault="00D17696" w14:paraId="2F293AFA" w14:textId="30398196">
      <w:pPr>
        <w:rPr>
          <w:lang w:eastAsia="en-US"/>
        </w:rPr>
      </w:pPr>
      <w:r w:rsidRPr="00D17696">
        <w:rPr>
          <w:lang w:eastAsia="en-US"/>
        </w:rPr>
        <w:t xml:space="preserve">This appendix provides a sample annual governance calendar outlining </w:t>
      </w:r>
      <w:proofErr w:type="gramStart"/>
      <w:r w:rsidRPr="00D17696">
        <w:rPr>
          <w:lang w:eastAsia="en-US"/>
        </w:rPr>
        <w:t>key</w:t>
      </w:r>
      <w:r w:rsidR="00113A6D">
        <w:rPr>
          <w:lang w:eastAsia="en-US"/>
        </w:rPr>
        <w:t xml:space="preserve"> </w:t>
      </w:r>
      <w:r w:rsidRPr="00D17696">
        <w:rPr>
          <w:lang w:eastAsia="en-US"/>
        </w:rPr>
        <w:t xml:space="preserve"> Board</w:t>
      </w:r>
      <w:proofErr w:type="gramEnd"/>
      <w:r w:rsidRPr="00D17696">
        <w:rPr>
          <w:lang w:eastAsia="en-US"/>
        </w:rPr>
        <w:t xml:space="preserve"> and Proprietor milestones. It is an optional working template that may be adapted by each school.</w:t>
      </w:r>
    </w:p>
    <w:tbl>
      <w:tblPr>
        <w:tblStyle w:val="GridTable5Dark-Accent21"/>
        <w:tblW w:w="0" w:type="auto"/>
        <w:tblLook w:val="04A0" w:firstRow="1" w:lastRow="0" w:firstColumn="1" w:lastColumn="0" w:noHBand="0" w:noVBand="1"/>
      </w:tblPr>
      <w:tblGrid>
        <w:gridCol w:w="2880"/>
        <w:gridCol w:w="2880"/>
        <w:gridCol w:w="2880"/>
      </w:tblGrid>
      <w:tr w:rsidRPr="00D17696" w:rsidR="00D17696" w:rsidTr="00DA7667" w14:paraId="2F03561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5BC84CEE" w14:textId="77777777">
            <w:r w:rsidRPr="00D17696">
              <w:t>Month</w:t>
            </w:r>
          </w:p>
        </w:tc>
        <w:tc>
          <w:tcPr>
            <w:tcW w:w="2880" w:type="dxa"/>
          </w:tcPr>
          <w:p w:rsidRPr="00D17696" w:rsidR="00D17696" w:rsidP="007D234A" w:rsidRDefault="00D17696" w14:paraId="2E3C2493" w14:textId="77777777">
            <w:pPr>
              <w:cnfStyle w:val="100000000000" w:firstRow="1" w:lastRow="0" w:firstColumn="0" w:lastColumn="0" w:oddVBand="0" w:evenVBand="0" w:oddHBand="0" w:evenHBand="0" w:firstRowFirstColumn="0" w:firstRowLastColumn="0" w:lastRowFirstColumn="0" w:lastRowLastColumn="0"/>
            </w:pPr>
            <w:r w:rsidRPr="00D17696">
              <w:t>Key Governance Activities</w:t>
            </w:r>
          </w:p>
        </w:tc>
        <w:tc>
          <w:tcPr>
            <w:tcW w:w="2880" w:type="dxa"/>
          </w:tcPr>
          <w:p w:rsidRPr="00D17696" w:rsidR="00D17696" w:rsidP="007D234A" w:rsidRDefault="00D17696" w14:paraId="5453D446" w14:textId="77777777">
            <w:pPr>
              <w:cnfStyle w:val="100000000000" w:firstRow="1" w:lastRow="0" w:firstColumn="0" w:lastColumn="0" w:oddVBand="0" w:evenVBand="0" w:oddHBand="0" w:evenHBand="0" w:firstRowFirstColumn="0" w:firstRowLastColumn="0" w:lastRowFirstColumn="0" w:lastRowLastColumn="0"/>
            </w:pPr>
            <w:r w:rsidRPr="00D17696">
              <w:t>Reporting Requirements</w:t>
            </w:r>
          </w:p>
        </w:tc>
      </w:tr>
      <w:tr w:rsidRPr="00D17696" w:rsidR="00D17696" w:rsidTr="00DA7667" w14:paraId="159088A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2E0AE0AA" w14:textId="77777777">
            <w:r w:rsidRPr="00D17696">
              <w:t>February</w:t>
            </w:r>
          </w:p>
        </w:tc>
        <w:tc>
          <w:tcPr>
            <w:tcW w:w="2880" w:type="dxa"/>
          </w:tcPr>
          <w:p w:rsidRPr="00D17696" w:rsidR="00D17696" w:rsidP="007D234A" w:rsidRDefault="00D17696" w14:paraId="72599C97" w14:textId="77777777">
            <w:pPr>
              <w:cnfStyle w:val="000000100000" w:firstRow="0" w:lastRow="0" w:firstColumn="0" w:lastColumn="0" w:oddVBand="0" w:evenVBand="0" w:oddHBand="1" w:evenHBand="0" w:firstRowFirstColumn="0" w:firstRowLastColumn="0" w:lastRowFirstColumn="0" w:lastRowLastColumn="0"/>
            </w:pPr>
            <w:r w:rsidRPr="00D17696">
              <w:t>Approve Annual Plan &amp; Budget; Confirm Committees</w:t>
            </w:r>
          </w:p>
        </w:tc>
        <w:tc>
          <w:tcPr>
            <w:tcW w:w="2880" w:type="dxa"/>
          </w:tcPr>
          <w:p w:rsidRPr="00D17696" w:rsidR="00D17696" w:rsidP="007D234A" w:rsidRDefault="00D17696" w14:paraId="72D94DF4" w14:textId="77777777">
            <w:pPr>
              <w:cnfStyle w:val="000000100000" w:firstRow="0" w:lastRow="0" w:firstColumn="0" w:lastColumn="0" w:oddVBand="0" w:evenVBand="0" w:oddHBand="1" w:evenHBand="0" w:firstRowFirstColumn="0" w:firstRowLastColumn="0" w:lastRowFirstColumn="0" w:lastRowLastColumn="0"/>
            </w:pPr>
            <w:r w:rsidRPr="00D17696">
              <w:t>Receive audited accounts</w:t>
            </w:r>
          </w:p>
        </w:tc>
      </w:tr>
      <w:tr w:rsidRPr="00D17696" w:rsidR="00D17696" w:rsidTr="00DA7667" w14:paraId="63099A57" w14:textId="77777777">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64D6F748" w14:textId="77777777">
            <w:r w:rsidRPr="00D17696">
              <w:t>May</w:t>
            </w:r>
          </w:p>
        </w:tc>
        <w:tc>
          <w:tcPr>
            <w:tcW w:w="2880" w:type="dxa"/>
          </w:tcPr>
          <w:p w:rsidRPr="00D17696" w:rsidR="00D17696" w:rsidP="007D234A" w:rsidRDefault="00D17696" w14:paraId="25D98117" w14:textId="77777777">
            <w:pPr>
              <w:cnfStyle w:val="000000000000" w:firstRow="0" w:lastRow="0" w:firstColumn="0" w:lastColumn="0" w:oddVBand="0" w:evenVBand="0" w:oddHBand="0" w:evenHBand="0" w:firstRowFirstColumn="0" w:firstRowLastColumn="0" w:lastRowFirstColumn="0" w:lastRowLastColumn="0"/>
            </w:pPr>
            <w:r w:rsidRPr="00D17696">
              <w:t>Mid-year Strategic Review; Property &amp; Risk Report</w:t>
            </w:r>
          </w:p>
        </w:tc>
        <w:tc>
          <w:tcPr>
            <w:tcW w:w="2880" w:type="dxa"/>
          </w:tcPr>
          <w:p w:rsidRPr="00D17696" w:rsidR="00D17696" w:rsidP="007D234A" w:rsidRDefault="00D17696" w14:paraId="243A1378" w14:textId="77777777">
            <w:pPr>
              <w:cnfStyle w:val="000000000000" w:firstRow="0" w:lastRow="0" w:firstColumn="0" w:lastColumn="0" w:oddVBand="0" w:evenVBand="0" w:oddHBand="0" w:evenHBand="0" w:firstRowFirstColumn="0" w:firstRowLastColumn="0" w:lastRowFirstColumn="0" w:lastRowLastColumn="0"/>
            </w:pPr>
            <w:r w:rsidRPr="00D17696">
              <w:t>Receive financial and compliance updates</w:t>
            </w:r>
          </w:p>
        </w:tc>
      </w:tr>
      <w:tr w:rsidRPr="00D17696" w:rsidR="00D17696" w:rsidTr="00DA7667" w14:paraId="4B991C6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0272DAD8" w14:textId="77777777">
            <w:r w:rsidRPr="00D17696">
              <w:t>August</w:t>
            </w:r>
          </w:p>
        </w:tc>
        <w:tc>
          <w:tcPr>
            <w:tcW w:w="2880" w:type="dxa"/>
          </w:tcPr>
          <w:p w:rsidRPr="00D17696" w:rsidR="00D17696" w:rsidP="007D234A" w:rsidRDefault="00D17696" w14:paraId="0B423EC7" w14:textId="77777777">
            <w:pPr>
              <w:cnfStyle w:val="000000100000" w:firstRow="0" w:lastRow="0" w:firstColumn="0" w:lastColumn="0" w:oddVBand="0" w:evenVBand="0" w:oddHBand="1" w:evenHBand="0" w:firstRowFirstColumn="0" w:firstRowLastColumn="0" w:lastRowFirstColumn="0" w:lastRowLastColumn="0"/>
            </w:pPr>
            <w:r w:rsidRPr="00D17696">
              <w:t>Governance self-review; Policy refresh</w:t>
            </w:r>
          </w:p>
        </w:tc>
        <w:tc>
          <w:tcPr>
            <w:tcW w:w="2880" w:type="dxa"/>
          </w:tcPr>
          <w:p w:rsidRPr="00D17696" w:rsidR="00D17696" w:rsidP="007D234A" w:rsidRDefault="00D17696" w14:paraId="076F1584" w14:textId="77777777">
            <w:pPr>
              <w:cnfStyle w:val="000000100000" w:firstRow="0" w:lastRow="0" w:firstColumn="0" w:lastColumn="0" w:oddVBand="0" w:evenVBand="0" w:oddHBand="1" w:evenHBand="0" w:firstRowFirstColumn="0" w:firstRowLastColumn="0" w:lastRowFirstColumn="0" w:lastRowLastColumn="0"/>
            </w:pPr>
            <w:r w:rsidRPr="00D17696">
              <w:t>Confirm next year’s budget assumptions</w:t>
            </w:r>
          </w:p>
        </w:tc>
      </w:tr>
      <w:tr w:rsidRPr="00D17696" w:rsidR="00D17696" w:rsidTr="00DA7667" w14:paraId="347978D2" w14:textId="77777777">
        <w:tc>
          <w:tcPr>
            <w:cnfStyle w:val="001000000000" w:firstRow="0" w:lastRow="0" w:firstColumn="1" w:lastColumn="0" w:oddVBand="0" w:evenVBand="0" w:oddHBand="0" w:evenHBand="0" w:firstRowFirstColumn="0" w:firstRowLastColumn="0" w:lastRowFirstColumn="0" w:lastRowLastColumn="0"/>
            <w:tcW w:w="2880" w:type="dxa"/>
          </w:tcPr>
          <w:p w:rsidRPr="00D17696" w:rsidR="00D17696" w:rsidP="007D234A" w:rsidRDefault="00D17696" w14:paraId="4BE41DA6" w14:textId="77777777">
            <w:r w:rsidRPr="00D17696">
              <w:t>November</w:t>
            </w:r>
          </w:p>
        </w:tc>
        <w:tc>
          <w:tcPr>
            <w:tcW w:w="2880" w:type="dxa"/>
          </w:tcPr>
          <w:p w:rsidRPr="00D17696" w:rsidR="00D17696" w:rsidP="007D234A" w:rsidRDefault="00D17696" w14:paraId="09524805" w14:textId="77777777">
            <w:pPr>
              <w:cnfStyle w:val="000000000000" w:firstRow="0" w:lastRow="0" w:firstColumn="0" w:lastColumn="0" w:oddVBand="0" w:evenVBand="0" w:oddHBand="0" w:evenHBand="0" w:firstRowFirstColumn="0" w:firstRowLastColumn="0" w:lastRowFirstColumn="0" w:lastRowLastColumn="0"/>
            </w:pPr>
            <w:proofErr w:type="gramStart"/>
            <w:r w:rsidRPr="00D17696">
              <w:t>Approve</w:t>
            </w:r>
            <w:proofErr w:type="gramEnd"/>
            <w:r w:rsidRPr="00D17696">
              <w:t xml:space="preserve"> budget and next year’s plan</w:t>
            </w:r>
          </w:p>
        </w:tc>
        <w:tc>
          <w:tcPr>
            <w:tcW w:w="2880" w:type="dxa"/>
          </w:tcPr>
          <w:p w:rsidRPr="00D17696" w:rsidR="00D17696" w:rsidP="007D234A" w:rsidRDefault="00D17696" w14:paraId="34A18BB5" w14:textId="77777777">
            <w:pPr>
              <w:cnfStyle w:val="000000000000" w:firstRow="0" w:lastRow="0" w:firstColumn="0" w:lastColumn="0" w:oddVBand="0" w:evenVBand="0" w:oddHBand="0" w:evenHBand="0" w:firstRowFirstColumn="0" w:firstRowLastColumn="0" w:lastRowFirstColumn="0" w:lastRowLastColumn="0"/>
            </w:pPr>
            <w:r w:rsidRPr="00D17696">
              <w:t>File annual returns and Charities report</w:t>
            </w:r>
          </w:p>
        </w:tc>
      </w:tr>
    </w:tbl>
    <w:p w:rsidR="00D93601" w:rsidP="007D234A" w:rsidRDefault="00D93601" w14:paraId="331CD081" w14:textId="64EF5A8A">
      <w:pPr>
        <w:rPr>
          <w:lang w:eastAsia="en-US"/>
        </w:rPr>
      </w:pPr>
    </w:p>
    <w:p w:rsidR="00D93601" w:rsidRDefault="00D93601" w14:paraId="4D713CD2" w14:textId="77777777">
      <w:pPr>
        <w:rPr>
          <w:lang w:eastAsia="en-US"/>
        </w:rPr>
      </w:pPr>
      <w:r>
        <w:rPr>
          <w:lang w:eastAsia="en-US"/>
        </w:rPr>
        <w:br w:type="page"/>
      </w:r>
    </w:p>
    <w:p w:rsidRPr="00D17696" w:rsidR="00D17696" w:rsidP="00D95C79" w:rsidRDefault="00D17696" w14:paraId="7377B1E3" w14:textId="77777777">
      <w:pPr>
        <w:pStyle w:val="Heading2"/>
        <w:rPr>
          <w:lang w:eastAsia="en-US"/>
        </w:rPr>
      </w:pPr>
      <w:bookmarkStart w:name="_Toc214449731" w:id="27"/>
      <w:bookmarkStart w:name="_Hlk214443007" w:id="28"/>
      <w:r w:rsidRPr="00D17696">
        <w:rPr>
          <w:lang w:eastAsia="en-US"/>
        </w:rPr>
        <w:t>Appendix G – Risk Register</w:t>
      </w:r>
      <w:bookmarkEnd w:id="27"/>
    </w:p>
    <w:bookmarkEnd w:id="28"/>
    <w:p w:rsidRPr="00D17696" w:rsidR="00D17696" w:rsidP="007D234A" w:rsidRDefault="00D17696" w14:paraId="51F0472D" w14:textId="77777777">
      <w:pPr>
        <w:rPr>
          <w:lang w:eastAsia="en-US"/>
        </w:rPr>
      </w:pPr>
      <w:r w:rsidRPr="00D17696">
        <w:rPr>
          <w:lang w:eastAsia="en-US"/>
        </w:rPr>
        <w:t>This appendix provides an example of a Board-level Risk Register. It is an optional working tool for monitoring strategic and operational risks.</w:t>
      </w:r>
    </w:p>
    <w:tbl>
      <w:tblPr>
        <w:tblStyle w:val="GridTable5Dark-Accent21"/>
        <w:tblW w:w="0" w:type="auto"/>
        <w:tblLook w:val="04A0" w:firstRow="1" w:lastRow="0" w:firstColumn="1" w:lastColumn="0" w:noHBand="0" w:noVBand="1"/>
      </w:tblPr>
      <w:tblGrid>
        <w:gridCol w:w="1728"/>
        <w:gridCol w:w="1597"/>
        <w:gridCol w:w="1350"/>
        <w:gridCol w:w="2237"/>
        <w:gridCol w:w="1728"/>
      </w:tblGrid>
      <w:tr w:rsidRPr="00D17696" w:rsidR="00D17696" w:rsidTr="00B87635" w14:paraId="198A1F3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Pr="00D17696" w:rsidR="00D17696" w:rsidP="007D234A" w:rsidRDefault="00D17696" w14:paraId="09E770FA" w14:textId="77777777">
            <w:r w:rsidRPr="00D17696">
              <w:t>Risk Description</w:t>
            </w:r>
          </w:p>
        </w:tc>
        <w:tc>
          <w:tcPr>
            <w:tcW w:w="1597" w:type="dxa"/>
          </w:tcPr>
          <w:p w:rsidRPr="00D17696" w:rsidR="00D17696" w:rsidP="007D234A" w:rsidRDefault="00D17696" w14:paraId="0EE5E251" w14:textId="77777777">
            <w:pPr>
              <w:cnfStyle w:val="100000000000" w:firstRow="1" w:lastRow="0" w:firstColumn="0" w:lastColumn="0" w:oddVBand="0" w:evenVBand="0" w:oddHBand="0" w:evenHBand="0" w:firstRowFirstColumn="0" w:firstRowLastColumn="0" w:lastRowFirstColumn="0" w:lastRowLastColumn="0"/>
            </w:pPr>
            <w:r w:rsidRPr="00D17696">
              <w:t>Likelihood</w:t>
            </w:r>
          </w:p>
        </w:tc>
        <w:tc>
          <w:tcPr>
            <w:tcW w:w="1350" w:type="dxa"/>
          </w:tcPr>
          <w:p w:rsidRPr="00D17696" w:rsidR="00D17696" w:rsidP="007D234A" w:rsidRDefault="00D17696" w14:paraId="2427F972" w14:textId="77777777">
            <w:pPr>
              <w:cnfStyle w:val="100000000000" w:firstRow="1" w:lastRow="0" w:firstColumn="0" w:lastColumn="0" w:oddVBand="0" w:evenVBand="0" w:oddHBand="0" w:evenHBand="0" w:firstRowFirstColumn="0" w:firstRowLastColumn="0" w:lastRowFirstColumn="0" w:lastRowLastColumn="0"/>
            </w:pPr>
            <w:r w:rsidRPr="00D17696">
              <w:t>Impact</w:t>
            </w:r>
          </w:p>
        </w:tc>
        <w:tc>
          <w:tcPr>
            <w:tcW w:w="2237" w:type="dxa"/>
          </w:tcPr>
          <w:p w:rsidRPr="00D17696" w:rsidR="00D17696" w:rsidP="007D234A" w:rsidRDefault="00D17696" w14:paraId="2C9950D9" w14:textId="77777777">
            <w:pPr>
              <w:cnfStyle w:val="100000000000" w:firstRow="1" w:lastRow="0" w:firstColumn="0" w:lastColumn="0" w:oddVBand="0" w:evenVBand="0" w:oddHBand="0" w:evenHBand="0" w:firstRowFirstColumn="0" w:firstRowLastColumn="0" w:lastRowFirstColumn="0" w:lastRowLastColumn="0"/>
            </w:pPr>
            <w:r w:rsidRPr="00D17696">
              <w:t>Mitigation Strategies</w:t>
            </w:r>
          </w:p>
        </w:tc>
        <w:tc>
          <w:tcPr>
            <w:tcW w:w="1728" w:type="dxa"/>
          </w:tcPr>
          <w:p w:rsidRPr="00D17696" w:rsidR="00D17696" w:rsidP="007D234A" w:rsidRDefault="00D17696" w14:paraId="10BF64C9" w14:textId="77777777">
            <w:pPr>
              <w:cnfStyle w:val="100000000000" w:firstRow="1" w:lastRow="0" w:firstColumn="0" w:lastColumn="0" w:oddVBand="0" w:evenVBand="0" w:oddHBand="0" w:evenHBand="0" w:firstRowFirstColumn="0" w:firstRowLastColumn="0" w:lastRowFirstColumn="0" w:lastRowLastColumn="0"/>
            </w:pPr>
            <w:r w:rsidRPr="00D17696">
              <w:t>Responsible Person</w:t>
            </w:r>
          </w:p>
        </w:tc>
      </w:tr>
      <w:tr w:rsidRPr="00D17696" w:rsidR="00D17696" w:rsidTr="00B87635" w14:paraId="7AB62BA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Pr="00D17696" w:rsidR="00D17696" w:rsidP="007D234A" w:rsidRDefault="00D17696" w14:paraId="62DCD45A" w14:textId="77777777">
            <w:r w:rsidRPr="00D17696">
              <w:t>Health &amp; Safety non-compliance</w:t>
            </w:r>
          </w:p>
        </w:tc>
        <w:tc>
          <w:tcPr>
            <w:tcW w:w="1597" w:type="dxa"/>
          </w:tcPr>
          <w:p w:rsidRPr="00D17696" w:rsidR="00D17696" w:rsidP="007D234A" w:rsidRDefault="00D17696" w14:paraId="4CCB6A32" w14:textId="77777777">
            <w:pPr>
              <w:cnfStyle w:val="000000100000" w:firstRow="0" w:lastRow="0" w:firstColumn="0" w:lastColumn="0" w:oddVBand="0" w:evenVBand="0" w:oddHBand="1" w:evenHBand="0" w:firstRowFirstColumn="0" w:firstRowLastColumn="0" w:lastRowFirstColumn="0" w:lastRowLastColumn="0"/>
            </w:pPr>
            <w:r w:rsidRPr="00D17696">
              <w:t>Medium</w:t>
            </w:r>
          </w:p>
        </w:tc>
        <w:tc>
          <w:tcPr>
            <w:tcW w:w="1350" w:type="dxa"/>
          </w:tcPr>
          <w:p w:rsidRPr="00D17696" w:rsidR="00D17696" w:rsidP="007D234A" w:rsidRDefault="00D17696" w14:paraId="32B5D06A" w14:textId="77777777">
            <w:pPr>
              <w:cnfStyle w:val="000000100000" w:firstRow="0" w:lastRow="0" w:firstColumn="0" w:lastColumn="0" w:oddVBand="0" w:evenVBand="0" w:oddHBand="1" w:evenHBand="0" w:firstRowFirstColumn="0" w:firstRowLastColumn="0" w:lastRowFirstColumn="0" w:lastRowLastColumn="0"/>
            </w:pPr>
            <w:r w:rsidRPr="00D17696">
              <w:t>High</w:t>
            </w:r>
          </w:p>
        </w:tc>
        <w:tc>
          <w:tcPr>
            <w:tcW w:w="2237" w:type="dxa"/>
          </w:tcPr>
          <w:p w:rsidRPr="00D17696" w:rsidR="00D17696" w:rsidP="007D234A" w:rsidRDefault="00D17696" w14:paraId="04093A98" w14:textId="77777777">
            <w:pPr>
              <w:cnfStyle w:val="000000100000" w:firstRow="0" w:lastRow="0" w:firstColumn="0" w:lastColumn="0" w:oddVBand="0" w:evenVBand="0" w:oddHBand="1" w:evenHBand="0" w:firstRowFirstColumn="0" w:firstRowLastColumn="0" w:lastRowFirstColumn="0" w:lastRowLastColumn="0"/>
            </w:pPr>
            <w:r w:rsidRPr="00D17696">
              <w:t>Annual audit; staff training</w:t>
            </w:r>
          </w:p>
        </w:tc>
        <w:tc>
          <w:tcPr>
            <w:tcW w:w="1728" w:type="dxa"/>
          </w:tcPr>
          <w:p w:rsidRPr="00D17696" w:rsidR="00D17696" w:rsidP="007D234A" w:rsidRDefault="00D17696" w14:paraId="711982A7" w14:textId="77777777">
            <w:pPr>
              <w:cnfStyle w:val="000000100000" w:firstRow="0" w:lastRow="0" w:firstColumn="0" w:lastColumn="0" w:oddVBand="0" w:evenVBand="0" w:oddHBand="1" w:evenHBand="0" w:firstRowFirstColumn="0" w:firstRowLastColumn="0" w:lastRowFirstColumn="0" w:lastRowLastColumn="0"/>
            </w:pPr>
            <w:r w:rsidRPr="00D17696">
              <w:t>HS&amp;W Committee</w:t>
            </w:r>
          </w:p>
        </w:tc>
      </w:tr>
      <w:tr w:rsidRPr="00D17696" w:rsidR="00D17696" w:rsidTr="00B87635" w14:paraId="1ADFF9AF" w14:textId="77777777">
        <w:tc>
          <w:tcPr>
            <w:cnfStyle w:val="001000000000" w:firstRow="0" w:lastRow="0" w:firstColumn="1" w:lastColumn="0" w:oddVBand="0" w:evenVBand="0" w:oddHBand="0" w:evenHBand="0" w:firstRowFirstColumn="0" w:firstRowLastColumn="0" w:lastRowFirstColumn="0" w:lastRowLastColumn="0"/>
            <w:tcW w:w="1728" w:type="dxa"/>
          </w:tcPr>
          <w:p w:rsidRPr="00D17696" w:rsidR="00D17696" w:rsidP="007D234A" w:rsidRDefault="00D17696" w14:paraId="39B60149" w14:textId="77777777">
            <w:r w:rsidRPr="00D17696">
              <w:t>Declining enrolment</w:t>
            </w:r>
          </w:p>
        </w:tc>
        <w:tc>
          <w:tcPr>
            <w:tcW w:w="1597" w:type="dxa"/>
          </w:tcPr>
          <w:p w:rsidRPr="00D17696" w:rsidR="00D17696" w:rsidP="007D234A" w:rsidRDefault="00D17696" w14:paraId="165C0FFC" w14:textId="77777777">
            <w:pPr>
              <w:cnfStyle w:val="000000000000" w:firstRow="0" w:lastRow="0" w:firstColumn="0" w:lastColumn="0" w:oddVBand="0" w:evenVBand="0" w:oddHBand="0" w:evenHBand="0" w:firstRowFirstColumn="0" w:firstRowLastColumn="0" w:lastRowFirstColumn="0" w:lastRowLastColumn="0"/>
            </w:pPr>
            <w:r w:rsidRPr="00D17696">
              <w:t>Medium</w:t>
            </w:r>
          </w:p>
        </w:tc>
        <w:tc>
          <w:tcPr>
            <w:tcW w:w="1350" w:type="dxa"/>
          </w:tcPr>
          <w:p w:rsidRPr="00D17696" w:rsidR="00D17696" w:rsidP="007D234A" w:rsidRDefault="00D17696" w14:paraId="64DDEE71" w14:textId="77777777">
            <w:pPr>
              <w:cnfStyle w:val="000000000000" w:firstRow="0" w:lastRow="0" w:firstColumn="0" w:lastColumn="0" w:oddVBand="0" w:evenVBand="0" w:oddHBand="0" w:evenHBand="0" w:firstRowFirstColumn="0" w:firstRowLastColumn="0" w:lastRowFirstColumn="0" w:lastRowLastColumn="0"/>
            </w:pPr>
            <w:r w:rsidRPr="00D17696">
              <w:t>Medium</w:t>
            </w:r>
          </w:p>
        </w:tc>
        <w:tc>
          <w:tcPr>
            <w:tcW w:w="2237" w:type="dxa"/>
          </w:tcPr>
          <w:p w:rsidRPr="00D17696" w:rsidR="00D17696" w:rsidP="007D234A" w:rsidRDefault="00D17696" w14:paraId="31115239" w14:textId="77777777">
            <w:pPr>
              <w:cnfStyle w:val="000000000000" w:firstRow="0" w:lastRow="0" w:firstColumn="0" w:lastColumn="0" w:oddVBand="0" w:evenVBand="0" w:oddHBand="0" w:evenHBand="0" w:firstRowFirstColumn="0" w:firstRowLastColumn="0" w:lastRowFirstColumn="0" w:lastRowLastColumn="0"/>
            </w:pPr>
            <w:r w:rsidRPr="00D17696">
              <w:t>Community engagement plan</w:t>
            </w:r>
          </w:p>
        </w:tc>
        <w:tc>
          <w:tcPr>
            <w:tcW w:w="1728" w:type="dxa"/>
          </w:tcPr>
          <w:p w:rsidRPr="00D17696" w:rsidR="00D17696" w:rsidP="007D234A" w:rsidRDefault="00D17696" w14:paraId="008C2123" w14:textId="77777777">
            <w:pPr>
              <w:cnfStyle w:val="000000000000" w:firstRow="0" w:lastRow="0" w:firstColumn="0" w:lastColumn="0" w:oddVBand="0" w:evenVBand="0" w:oddHBand="0" w:evenHBand="0" w:firstRowFirstColumn="0" w:firstRowLastColumn="0" w:lastRowFirstColumn="0" w:lastRowLastColumn="0"/>
            </w:pPr>
            <w:r w:rsidRPr="00D17696">
              <w:t>Principal</w:t>
            </w:r>
          </w:p>
        </w:tc>
      </w:tr>
      <w:tr w:rsidRPr="00D17696" w:rsidR="00D17696" w:rsidTr="00B87635" w14:paraId="0E6BA1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Pr="00D17696" w:rsidR="00D17696" w:rsidP="007D234A" w:rsidRDefault="00D17696" w14:paraId="1D7A6A5F" w14:textId="77777777">
            <w:r w:rsidRPr="00D17696">
              <w:t>Financial shortfall</w:t>
            </w:r>
          </w:p>
        </w:tc>
        <w:tc>
          <w:tcPr>
            <w:tcW w:w="1597" w:type="dxa"/>
          </w:tcPr>
          <w:p w:rsidRPr="00D17696" w:rsidR="00D17696" w:rsidP="007D234A" w:rsidRDefault="00D17696" w14:paraId="7C4F7B8A" w14:textId="77777777">
            <w:pPr>
              <w:cnfStyle w:val="000000100000" w:firstRow="0" w:lastRow="0" w:firstColumn="0" w:lastColumn="0" w:oddVBand="0" w:evenVBand="0" w:oddHBand="1" w:evenHBand="0" w:firstRowFirstColumn="0" w:firstRowLastColumn="0" w:lastRowFirstColumn="0" w:lastRowLastColumn="0"/>
            </w:pPr>
            <w:r w:rsidRPr="00D17696">
              <w:t>Low</w:t>
            </w:r>
          </w:p>
        </w:tc>
        <w:tc>
          <w:tcPr>
            <w:tcW w:w="1350" w:type="dxa"/>
          </w:tcPr>
          <w:p w:rsidRPr="00D17696" w:rsidR="00D17696" w:rsidP="007D234A" w:rsidRDefault="00D17696" w14:paraId="10434819" w14:textId="77777777">
            <w:pPr>
              <w:cnfStyle w:val="000000100000" w:firstRow="0" w:lastRow="0" w:firstColumn="0" w:lastColumn="0" w:oddVBand="0" w:evenVBand="0" w:oddHBand="1" w:evenHBand="0" w:firstRowFirstColumn="0" w:firstRowLastColumn="0" w:lastRowFirstColumn="0" w:lastRowLastColumn="0"/>
            </w:pPr>
            <w:r w:rsidRPr="00D17696">
              <w:t>High</w:t>
            </w:r>
          </w:p>
        </w:tc>
        <w:tc>
          <w:tcPr>
            <w:tcW w:w="2237" w:type="dxa"/>
          </w:tcPr>
          <w:p w:rsidRPr="00D17696" w:rsidR="00D17696" w:rsidP="007D234A" w:rsidRDefault="00D17696" w14:paraId="0031929F" w14:textId="77777777">
            <w:pPr>
              <w:cnfStyle w:val="000000100000" w:firstRow="0" w:lastRow="0" w:firstColumn="0" w:lastColumn="0" w:oddVBand="0" w:evenVBand="0" w:oddHBand="1" w:evenHBand="0" w:firstRowFirstColumn="0" w:firstRowLastColumn="0" w:lastRowFirstColumn="0" w:lastRowLastColumn="0"/>
            </w:pPr>
            <w:r w:rsidRPr="00D17696">
              <w:t>Regular monitoring and reserves policy</w:t>
            </w:r>
          </w:p>
        </w:tc>
        <w:tc>
          <w:tcPr>
            <w:tcW w:w="1728" w:type="dxa"/>
          </w:tcPr>
          <w:p w:rsidRPr="00D17696" w:rsidR="00D17696" w:rsidP="007D234A" w:rsidRDefault="00D17696" w14:paraId="08D27F55" w14:textId="77777777">
            <w:pPr>
              <w:cnfStyle w:val="000000100000" w:firstRow="0" w:lastRow="0" w:firstColumn="0" w:lastColumn="0" w:oddVBand="0" w:evenVBand="0" w:oddHBand="1" w:evenHBand="0" w:firstRowFirstColumn="0" w:firstRowLastColumn="0" w:lastRowFirstColumn="0" w:lastRowLastColumn="0"/>
            </w:pPr>
            <w:r w:rsidRPr="00D17696">
              <w:t>Finance Committee</w:t>
            </w:r>
          </w:p>
        </w:tc>
      </w:tr>
      <w:tr w:rsidRPr="00D17696" w:rsidR="00D17696" w:rsidTr="00B87635" w14:paraId="242B111C" w14:textId="77777777">
        <w:tc>
          <w:tcPr>
            <w:cnfStyle w:val="001000000000" w:firstRow="0" w:lastRow="0" w:firstColumn="1" w:lastColumn="0" w:oddVBand="0" w:evenVBand="0" w:oddHBand="0" w:evenHBand="0" w:firstRowFirstColumn="0" w:firstRowLastColumn="0" w:lastRowFirstColumn="0" w:lastRowLastColumn="0"/>
            <w:tcW w:w="1728" w:type="dxa"/>
          </w:tcPr>
          <w:p w:rsidRPr="00D17696" w:rsidR="00D17696" w:rsidP="007D234A" w:rsidRDefault="00D17696" w14:paraId="5228D147" w14:textId="77777777">
            <w:r w:rsidRPr="00D17696">
              <w:t>Special character drift</w:t>
            </w:r>
          </w:p>
        </w:tc>
        <w:tc>
          <w:tcPr>
            <w:tcW w:w="1597" w:type="dxa"/>
          </w:tcPr>
          <w:p w:rsidRPr="00D17696" w:rsidR="00D17696" w:rsidP="007D234A" w:rsidRDefault="00D17696" w14:paraId="02F16488" w14:textId="77777777">
            <w:pPr>
              <w:cnfStyle w:val="000000000000" w:firstRow="0" w:lastRow="0" w:firstColumn="0" w:lastColumn="0" w:oddVBand="0" w:evenVBand="0" w:oddHBand="0" w:evenHBand="0" w:firstRowFirstColumn="0" w:firstRowLastColumn="0" w:lastRowFirstColumn="0" w:lastRowLastColumn="0"/>
            </w:pPr>
            <w:r w:rsidRPr="00D17696">
              <w:t>Low</w:t>
            </w:r>
          </w:p>
        </w:tc>
        <w:tc>
          <w:tcPr>
            <w:tcW w:w="1350" w:type="dxa"/>
          </w:tcPr>
          <w:p w:rsidRPr="00D17696" w:rsidR="00D17696" w:rsidP="007D234A" w:rsidRDefault="00D17696" w14:paraId="01AA5508" w14:textId="77777777">
            <w:pPr>
              <w:cnfStyle w:val="000000000000" w:firstRow="0" w:lastRow="0" w:firstColumn="0" w:lastColumn="0" w:oddVBand="0" w:evenVBand="0" w:oddHBand="0" w:evenHBand="0" w:firstRowFirstColumn="0" w:firstRowLastColumn="0" w:lastRowFirstColumn="0" w:lastRowLastColumn="0"/>
            </w:pPr>
            <w:r w:rsidRPr="00D17696">
              <w:t>High</w:t>
            </w:r>
          </w:p>
        </w:tc>
        <w:tc>
          <w:tcPr>
            <w:tcW w:w="2237" w:type="dxa"/>
          </w:tcPr>
          <w:p w:rsidR="00D17696" w:rsidP="007D234A" w:rsidRDefault="00D17696" w14:paraId="0195D0D8" w14:textId="1D7D91BB">
            <w:pPr>
              <w:cnfStyle w:val="000000000000" w:firstRow="0" w:lastRow="0" w:firstColumn="0" w:lastColumn="0" w:oddVBand="0" w:evenVBand="0" w:oddHBand="0" w:evenHBand="0" w:firstRowFirstColumn="0" w:firstRowLastColumn="0" w:lastRowFirstColumn="0" w:lastRowLastColumn="0"/>
            </w:pPr>
            <w:r w:rsidRPr="00D17696">
              <w:t xml:space="preserve">Staff </w:t>
            </w:r>
            <w:proofErr w:type="gramStart"/>
            <w:r w:rsidRPr="00D17696">
              <w:t>formation</w:t>
            </w:r>
            <w:proofErr w:type="gramEnd"/>
            <w:r w:rsidRPr="00D17696">
              <w:t xml:space="preserve"> and review</w:t>
            </w:r>
          </w:p>
          <w:p w:rsidRPr="00D17696" w:rsidR="00967FCF" w:rsidP="007D234A" w:rsidRDefault="00967FCF" w14:paraId="7E8CBA0B" w14:textId="187619C3">
            <w:pPr>
              <w:cnfStyle w:val="000000000000" w:firstRow="0" w:lastRow="0" w:firstColumn="0" w:lastColumn="0" w:oddVBand="0" w:evenVBand="0" w:oddHBand="0" w:evenHBand="0" w:firstRowFirstColumn="0" w:firstRowLastColumn="0" w:lastRowFirstColumn="0" w:lastRowLastColumn="0"/>
            </w:pPr>
            <w:r>
              <w:t>Annual proprietor appointee report</w:t>
            </w:r>
          </w:p>
        </w:tc>
        <w:tc>
          <w:tcPr>
            <w:tcW w:w="1728" w:type="dxa"/>
          </w:tcPr>
          <w:p w:rsidRPr="00D17696" w:rsidR="00D17696" w:rsidP="007D234A" w:rsidRDefault="00D17696" w14:paraId="77CA3A4A" w14:textId="1130162E">
            <w:pPr>
              <w:cnfStyle w:val="000000000000" w:firstRow="0" w:lastRow="0" w:firstColumn="0" w:lastColumn="0" w:oddVBand="0" w:evenVBand="0" w:oddHBand="0" w:evenHBand="0" w:firstRowFirstColumn="0" w:firstRowLastColumn="0" w:lastRowFirstColumn="0" w:lastRowLastColumn="0"/>
            </w:pPr>
            <w:r w:rsidRPr="00D17696">
              <w:t xml:space="preserve">Proprietor </w:t>
            </w:r>
            <w:r w:rsidR="00F53066">
              <w:br/>
            </w:r>
            <w:r w:rsidR="00F53066">
              <w:t>Appointee</w:t>
            </w:r>
          </w:p>
        </w:tc>
      </w:tr>
    </w:tbl>
    <w:p w:rsidRPr="00D17696" w:rsidR="00D17696" w:rsidP="007D234A" w:rsidRDefault="00D17696" w14:paraId="233C2C20" w14:textId="77777777">
      <w:pPr>
        <w:rPr>
          <w:lang w:eastAsia="en-US"/>
        </w:rPr>
      </w:pPr>
    </w:p>
    <w:p w:rsidRPr="007D234A" w:rsidR="007D234A" w:rsidP="00D95C79" w:rsidRDefault="007D234A" w14:paraId="71BAE7C4" w14:textId="77777777">
      <w:pPr>
        <w:pStyle w:val="Heading2"/>
        <w:rPr>
          <w:lang w:eastAsia="en-US"/>
        </w:rPr>
      </w:pPr>
      <w:bookmarkStart w:name="_Toc214449732" w:id="29"/>
      <w:r w:rsidRPr="007D234A">
        <w:rPr>
          <w:lang w:eastAsia="en-US"/>
        </w:rPr>
        <w:t>Appendix H – Shared Sites and Shared Staff Protocols</w:t>
      </w:r>
      <w:bookmarkEnd w:id="29"/>
    </w:p>
    <w:p w:rsidRPr="007D234A" w:rsidR="007D234A" w:rsidP="00D95C79" w:rsidRDefault="007D234A" w14:paraId="2A5A3BB9" w14:textId="77777777">
      <w:pPr>
        <w:pStyle w:val="Heading3"/>
      </w:pPr>
      <w:r w:rsidRPr="007D234A">
        <w:t>Purpose</w:t>
      </w:r>
    </w:p>
    <w:p w:rsidR="007D234A" w:rsidP="007D234A" w:rsidRDefault="007D234A" w14:paraId="62B1E2E0" w14:textId="77777777">
      <w:r>
        <w:t>To clarify governance and operational protocols when school facilities or staff are shared between multiple proprietors, boards, or educational entities operating on a common or adjoining site.</w:t>
      </w:r>
    </w:p>
    <w:p w:rsidRPr="007D234A" w:rsidR="007D234A" w:rsidP="00D95C79" w:rsidRDefault="007D234A" w14:paraId="5D598DD4" w14:textId="77777777">
      <w:pPr>
        <w:pStyle w:val="Heading3"/>
      </w:pPr>
      <w:r w:rsidRPr="007D234A">
        <w:t>1. Shared Sites</w:t>
      </w:r>
    </w:p>
    <w:p w:rsidR="007D234A" w:rsidP="00D95C79" w:rsidRDefault="007D234A" w14:paraId="4FA2F1C7" w14:textId="77777777">
      <w:pPr>
        <w:pStyle w:val="ListParagraph"/>
        <w:ind w:left="0"/>
      </w:pPr>
      <w:r>
        <w:t>The Proprietor retains ownership and control of integrated land and buildings; any shared-use arrangement must be consistent with the Integration Agreement and Ministry of Education property protocols.</w:t>
      </w:r>
    </w:p>
    <w:p w:rsidR="007D234A" w:rsidP="00D95C79" w:rsidRDefault="007D234A" w14:paraId="3922517C" w14:textId="77777777">
      <w:pPr>
        <w:pStyle w:val="ListParagraph"/>
        <w:ind w:left="0"/>
      </w:pPr>
      <w:r>
        <w:t xml:space="preserve">A Site Use Agreement should be developed where facilities are shared with another school, early-childhood </w:t>
      </w:r>
      <w:proofErr w:type="spellStart"/>
      <w:r>
        <w:t>centre</w:t>
      </w:r>
      <w:proofErr w:type="spellEnd"/>
      <w:r>
        <w:t>, or external organisation. This agreement will specify:</w:t>
      </w:r>
    </w:p>
    <w:p w:rsidR="007D234A" w:rsidP="007D234A" w:rsidRDefault="007D234A" w14:paraId="749CD4FD" w14:textId="2B02EDF6">
      <w:pPr>
        <w:pStyle w:val="ListParagraph"/>
        <w:numPr>
          <w:ilvl w:val="0"/>
          <w:numId w:val="23"/>
        </w:numPr>
      </w:pPr>
      <w:r>
        <w:t xml:space="preserve">Physical boundaries, access rights, and times of </w:t>
      </w:r>
      <w:proofErr w:type="gramStart"/>
      <w:r>
        <w:t>use;</w:t>
      </w:r>
      <w:proofErr w:type="gramEnd"/>
    </w:p>
    <w:p w:rsidR="007D234A" w:rsidP="007D234A" w:rsidRDefault="00071757" w14:paraId="3FA3F109" w14:textId="063E5958">
      <w:pPr>
        <w:pStyle w:val="ListParagraph"/>
        <w:numPr>
          <w:ilvl w:val="0"/>
          <w:numId w:val="23"/>
        </w:numPr>
      </w:pPr>
      <w:r>
        <w:t>C</w:t>
      </w:r>
      <w:r w:rsidR="007D234A">
        <w:t xml:space="preserve">ost-sharing </w:t>
      </w:r>
      <w:proofErr w:type="gramStart"/>
      <w:r w:rsidR="007D234A">
        <w:t>arrangements;</w:t>
      </w:r>
      <w:proofErr w:type="gramEnd"/>
    </w:p>
    <w:p w:rsidR="007D234A" w:rsidP="007D234A" w:rsidRDefault="007D234A" w14:paraId="0F62BB51" w14:textId="200104D7">
      <w:pPr>
        <w:pStyle w:val="ListParagraph"/>
        <w:numPr>
          <w:ilvl w:val="0"/>
          <w:numId w:val="23"/>
        </w:numPr>
      </w:pPr>
      <w:r>
        <w:t xml:space="preserve">Health &amp; Safety responsibilities under the Health and Safety at Work Act </w:t>
      </w:r>
      <w:proofErr w:type="gramStart"/>
      <w:r>
        <w:t>2015;</w:t>
      </w:r>
      <w:proofErr w:type="gramEnd"/>
    </w:p>
    <w:p w:rsidR="007D234A" w:rsidP="007D234A" w:rsidRDefault="007D234A" w14:paraId="59B8CC1F" w14:textId="0532FBFC">
      <w:pPr>
        <w:pStyle w:val="ListParagraph"/>
        <w:numPr>
          <w:ilvl w:val="0"/>
          <w:numId w:val="23"/>
        </w:numPr>
      </w:pPr>
      <w:r>
        <w:t>Dispute-resolution and review procedures.</w:t>
      </w:r>
    </w:p>
    <w:p w:rsidR="007D234A" w:rsidP="007D234A" w:rsidRDefault="007D234A" w14:paraId="775D461B" w14:textId="77777777">
      <w:pPr>
        <w:pStyle w:val="ListParagraph"/>
      </w:pPr>
    </w:p>
    <w:p w:rsidR="007D234A" w:rsidP="00D95C79" w:rsidRDefault="007D234A" w14:paraId="217B95DC" w14:textId="0FF9A5E0">
      <w:pPr>
        <w:pStyle w:val="ListParagraph"/>
        <w:ind w:left="0"/>
      </w:pPr>
      <w:r>
        <w:t>The Board manages day-to-day site operations consistent with agreed protocols, ensuring shared use does not compromise special-character activities or student safety.</w:t>
      </w:r>
    </w:p>
    <w:p w:rsidR="007D234A" w:rsidP="00D95C79" w:rsidRDefault="007D234A" w14:paraId="1D30CF2C" w14:textId="77777777">
      <w:pPr>
        <w:pStyle w:val="ListParagraph"/>
        <w:ind w:left="0"/>
      </w:pPr>
      <w:r>
        <w:t>Annual joint property reviews should confirm that shared-site use aligns with both parties’ obligations and insurance requirements.</w:t>
      </w:r>
    </w:p>
    <w:p w:rsidR="00F002F9" w:rsidP="00D95C79" w:rsidRDefault="00F002F9" w14:paraId="5FB3E08F" w14:textId="77777777">
      <w:pPr>
        <w:pStyle w:val="ListParagraph"/>
        <w:ind w:left="0"/>
      </w:pPr>
    </w:p>
    <w:p w:rsidR="00071757" w:rsidP="00D95C79" w:rsidRDefault="00071757" w14:paraId="1F6D6FC5" w14:textId="1B770BB1">
      <w:pPr>
        <w:pStyle w:val="ListParagraph"/>
        <w:ind w:left="0"/>
      </w:pPr>
      <w:r w:rsidRPr="00071757">
        <w:t xml:space="preserve">The Proprietor is responsible for all costs associated with non-integrated areas, unless a separate </w:t>
      </w:r>
      <w:r w:rsidRPr="000C104E" w:rsidR="000C104E">
        <w:rPr>
          <w:b/>
          <w:bCs/>
        </w:rPr>
        <w:t>usage cost</w:t>
      </w:r>
      <w:r w:rsidR="000C104E">
        <w:t xml:space="preserve"> </w:t>
      </w:r>
      <w:r w:rsidRPr="00071757">
        <w:t>agreement is made with the Board. The Board's legal responsibilities and its Ministry funding are confined to the </w:t>
      </w:r>
      <w:r w:rsidRPr="000C104E">
        <w:rPr>
          <w:b/>
          <w:bCs/>
          <w:i/>
          <w:iCs/>
        </w:rPr>
        <w:t>integrated</w:t>
      </w:r>
      <w:r w:rsidRPr="00071757">
        <w:t> areas of the school.</w:t>
      </w:r>
    </w:p>
    <w:p w:rsidRPr="007D234A" w:rsidR="007D234A" w:rsidP="00D95C79" w:rsidRDefault="007D234A" w14:paraId="748891F0" w14:textId="77777777">
      <w:pPr>
        <w:pStyle w:val="Heading3"/>
      </w:pPr>
      <w:r w:rsidRPr="007D234A">
        <w:t>2. Shared Staff</w:t>
      </w:r>
    </w:p>
    <w:p w:rsidR="007D234A" w:rsidP="00D95C79" w:rsidRDefault="007D234A" w14:paraId="3653A4EA" w14:textId="77777777">
      <w:pPr>
        <w:pStyle w:val="ListParagraph"/>
        <w:ind w:left="0"/>
      </w:pPr>
      <w:r>
        <w:t>Where personnel serve more than one entity (e.g., shared caretaker, music teacher, or chaplain), an Employment MOU or Secondment Agreement must define:</w:t>
      </w:r>
    </w:p>
    <w:p w:rsidR="007D234A" w:rsidP="007D234A" w:rsidRDefault="007D234A" w14:paraId="41EA813F" w14:textId="40A3B41A">
      <w:pPr>
        <w:pStyle w:val="ListParagraph"/>
        <w:numPr>
          <w:ilvl w:val="0"/>
          <w:numId w:val="23"/>
        </w:numPr>
      </w:pPr>
      <w:r>
        <w:t>The legal employer (responsible for payroll, tax, and compliance</w:t>
      </w:r>
      <w:proofErr w:type="gramStart"/>
      <w:r>
        <w:t>);</w:t>
      </w:r>
      <w:proofErr w:type="gramEnd"/>
    </w:p>
    <w:p w:rsidR="007D234A" w:rsidP="007D234A" w:rsidRDefault="007D234A" w14:paraId="5C6D185D" w14:textId="564C69AC">
      <w:pPr>
        <w:pStyle w:val="ListParagraph"/>
        <w:numPr>
          <w:ilvl w:val="0"/>
          <w:numId w:val="23"/>
        </w:numPr>
      </w:pPr>
      <w:r>
        <w:t xml:space="preserve">How salary costs, leave, and professional development are </w:t>
      </w:r>
      <w:proofErr w:type="gramStart"/>
      <w:r>
        <w:t>apportioned;</w:t>
      </w:r>
      <w:proofErr w:type="gramEnd"/>
    </w:p>
    <w:p w:rsidR="007D234A" w:rsidP="007D234A" w:rsidRDefault="007D234A" w14:paraId="604C96C1" w14:textId="36F48C5C">
      <w:pPr>
        <w:pStyle w:val="ListParagraph"/>
        <w:numPr>
          <w:ilvl w:val="0"/>
          <w:numId w:val="23"/>
        </w:numPr>
      </w:pPr>
      <w:r>
        <w:t xml:space="preserve">Reporting lines, appraisal processes, and confidentiality </w:t>
      </w:r>
      <w:proofErr w:type="gramStart"/>
      <w:r>
        <w:t>expectations;</w:t>
      </w:r>
      <w:proofErr w:type="gramEnd"/>
    </w:p>
    <w:p w:rsidR="007D234A" w:rsidP="007D234A" w:rsidRDefault="007D234A" w14:paraId="75404453" w14:textId="0B20985D">
      <w:pPr>
        <w:pStyle w:val="ListParagraph"/>
        <w:numPr>
          <w:ilvl w:val="0"/>
          <w:numId w:val="23"/>
        </w:numPr>
      </w:pPr>
      <w:r>
        <w:t>Termination or change procedures.</w:t>
      </w:r>
    </w:p>
    <w:p w:rsidR="007D234A" w:rsidP="007D234A" w:rsidRDefault="007D234A" w14:paraId="09034161" w14:textId="77777777">
      <w:pPr>
        <w:pStyle w:val="ListParagraph"/>
      </w:pPr>
    </w:p>
    <w:p w:rsidR="007D234A" w:rsidP="00D95C79" w:rsidRDefault="007D234A" w14:paraId="3D8A18AB" w14:textId="31399483">
      <w:pPr>
        <w:pStyle w:val="ListParagraph"/>
        <w:ind w:left="0"/>
      </w:pPr>
      <w:r>
        <w:t>The Proprietor and Board will jointly ensure that all shared roles uphold the school’s special character and comply with employment law and integrated-school guidelines.</w:t>
      </w:r>
    </w:p>
    <w:p w:rsidR="007D234A" w:rsidP="00D95C79" w:rsidRDefault="007D234A" w14:paraId="722C5A6E" w14:textId="77777777">
      <w:pPr>
        <w:pStyle w:val="ListParagraph"/>
        <w:ind w:left="0"/>
      </w:pPr>
    </w:p>
    <w:p w:rsidR="007D234A" w:rsidP="00D95C79" w:rsidRDefault="007D234A" w14:paraId="75E11CFA" w14:textId="4FB27D57">
      <w:pPr>
        <w:pStyle w:val="ListParagraph"/>
        <w:ind w:left="0"/>
      </w:pPr>
      <w:r>
        <w:t xml:space="preserve">For tagged or special-character roles, the Proprietor’s </w:t>
      </w:r>
      <w:r w:rsidRPr="0001417D" w:rsidR="0001417D">
        <w:t xml:space="preserve">applicant acceptability </w:t>
      </w:r>
      <w:r>
        <w:t xml:space="preserve">attestation </w:t>
      </w:r>
      <w:r w:rsidR="00B903BA">
        <w:t xml:space="preserve">(as outlined on page 7) </w:t>
      </w:r>
      <w:r>
        <w:t>remains required even when duties are shared.</w:t>
      </w:r>
    </w:p>
    <w:p w:rsidRPr="007D234A" w:rsidR="007D234A" w:rsidP="00D95C79" w:rsidRDefault="007D234A" w14:paraId="5821A040" w14:textId="77777777">
      <w:pPr>
        <w:pStyle w:val="Heading3"/>
      </w:pPr>
      <w:r w:rsidRPr="007D234A">
        <w:t xml:space="preserve">3. </w:t>
      </w:r>
      <w:proofErr w:type="gramStart"/>
      <w:r w:rsidRPr="007D234A">
        <w:t>Best-Practice</w:t>
      </w:r>
      <w:proofErr w:type="gramEnd"/>
      <w:r w:rsidRPr="007D234A">
        <w:t xml:space="preserve"> Protocols</w:t>
      </w:r>
    </w:p>
    <w:p w:rsidR="007D234A" w:rsidP="007D234A" w:rsidRDefault="007D234A" w14:paraId="1D0D93CA" w14:textId="77777777">
      <w:pPr>
        <w:pStyle w:val="ListParagraph"/>
        <w:numPr>
          <w:ilvl w:val="0"/>
          <w:numId w:val="30"/>
        </w:numPr>
      </w:pPr>
      <w:r>
        <w:t>Establish a single written point of contact for each party to manage shared-site or staff issues.</w:t>
      </w:r>
    </w:p>
    <w:p w:rsidR="007D234A" w:rsidP="007D234A" w:rsidRDefault="007D234A" w14:paraId="2CEB6C60" w14:textId="77777777">
      <w:pPr>
        <w:pStyle w:val="ListParagraph"/>
        <w:numPr>
          <w:ilvl w:val="0"/>
          <w:numId w:val="30"/>
        </w:numPr>
      </w:pPr>
      <w:r>
        <w:t>Maintain an annual joint review of shared arrangements within the governance calendar.</w:t>
      </w:r>
    </w:p>
    <w:p w:rsidRPr="00D17696" w:rsidR="00D17696" w:rsidP="007D234A" w:rsidRDefault="007D234A" w14:paraId="604F38A6" w14:textId="62137B19">
      <w:pPr>
        <w:pStyle w:val="ListParagraph"/>
        <w:numPr>
          <w:ilvl w:val="0"/>
          <w:numId w:val="30"/>
        </w:numPr>
      </w:pPr>
      <w:r>
        <w:t>Record all agreements in both parties’ document repositories and update them when property boundaries, staff roles, or governance structures change.</w:t>
      </w:r>
    </w:p>
    <w:sectPr w:rsidRPr="00D17696" w:rsidR="00D17696" w:rsidSect="00E90B6C">
      <w:headerReference w:type="even" r:id="rId17"/>
      <w:headerReference w:type="default" r:id="rId18"/>
      <w:footerReference w:type="even" r:id="rId19"/>
      <w:footerReference w:type="default" r:id="rId20"/>
      <w:headerReference w:type="first" r:id="rId21"/>
      <w:footerReference w:type="first" r:id="rId22"/>
      <w:pgSz w:w="12240" w:h="15840" w:orient="portrait"/>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57F0B" w:rsidP="00D16662" w:rsidRDefault="00C57F0B" w14:paraId="7C7AE7CD" w14:textId="77777777">
      <w:pPr>
        <w:spacing w:after="0" w:line="240" w:lineRule="auto"/>
      </w:pPr>
      <w:r>
        <w:separator/>
      </w:r>
    </w:p>
  </w:endnote>
  <w:endnote w:type="continuationSeparator" w:id="0">
    <w:p w:rsidR="00C57F0B" w:rsidP="00D16662" w:rsidRDefault="00C57F0B" w14:paraId="4660984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625" w:rsidRDefault="00B43625" w14:paraId="6EA0619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731138"/>
      <w:docPartObj>
        <w:docPartGallery w:val="Page Numbers (Bottom of Page)"/>
        <w:docPartUnique/>
      </w:docPartObj>
    </w:sdtPr>
    <w:sdtEndPr>
      <w:rPr>
        <w:noProof/>
      </w:rPr>
    </w:sdtEndPr>
    <w:sdtContent>
      <w:p w:rsidR="00D16662" w:rsidRDefault="00D16662" w14:paraId="2178A263" w14:textId="284C9D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D16662" w:rsidR="00D16662" w:rsidRDefault="0027067D" w14:paraId="08B8FBC3" w14:textId="28D84EDE">
    <w:pPr>
      <w:pStyle w:val="Footer"/>
      <w:rPr>
        <w:sz w:val="18"/>
        <w:szCs w:val="18"/>
      </w:rPr>
    </w:pPr>
    <w:proofErr w:type="gramStart"/>
    <w:r>
      <w:rPr>
        <w:sz w:val="18"/>
        <w:szCs w:val="18"/>
      </w:rPr>
      <w:t>DRAFT  -</w:t>
    </w:r>
    <w:proofErr w:type="gramEnd"/>
    <w:r>
      <w:rPr>
        <w:sz w:val="18"/>
        <w:szCs w:val="18"/>
      </w:rPr>
      <w:t xml:space="preserve"> </w:t>
    </w:r>
    <w:r w:rsidRPr="00D16662" w:rsidR="00D16662">
      <w:rPr>
        <w:sz w:val="18"/>
        <w:szCs w:val="18"/>
      </w:rPr>
      <w:t>APIS MOU Template</w:t>
    </w:r>
    <w:r w:rsidR="00D16662">
      <w:rPr>
        <w:sz w:val="18"/>
        <w:szCs w:val="18"/>
      </w:rPr>
      <w:t xml:space="preserve"> 202</w:t>
    </w:r>
    <w:r w:rsidR="00BD0D1E">
      <w:rPr>
        <w:sz w:val="18"/>
        <w:szCs w:val="18"/>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625" w:rsidRDefault="00B43625" w14:paraId="7FC501A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57F0B" w:rsidP="00D16662" w:rsidRDefault="00C57F0B" w14:paraId="127BCF82" w14:textId="77777777">
      <w:pPr>
        <w:spacing w:after="0" w:line="240" w:lineRule="auto"/>
      </w:pPr>
      <w:r>
        <w:separator/>
      </w:r>
    </w:p>
  </w:footnote>
  <w:footnote w:type="continuationSeparator" w:id="0">
    <w:p w:rsidR="00C57F0B" w:rsidP="00D16662" w:rsidRDefault="00C57F0B" w14:paraId="1AAEF14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625" w:rsidRDefault="00B43625" w14:paraId="55D942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5277464"/>
      <w:docPartObj>
        <w:docPartGallery w:val="Watermarks"/>
        <w:docPartUnique/>
      </w:docPartObj>
    </w:sdtPr>
    <w:sdtEndPr/>
    <w:sdtContent>
      <w:p w:rsidR="00B43625" w:rsidRDefault="00600D2D" w14:paraId="1CBC02EA" w14:textId="315D2843">
        <w:pPr>
          <w:pStyle w:val="Header"/>
        </w:pPr>
        <w:r>
          <w:rPr>
            <w:noProof/>
          </w:rPr>
          <w:pict w14:anchorId="43DCFF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752;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3625" w:rsidRDefault="00B43625" w14:paraId="67BF858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05B4988"/>
    <w:multiLevelType w:val="hybridMultilevel"/>
    <w:tmpl w:val="725EF342"/>
    <w:lvl w:ilvl="0" w:tplc="6E9A87E0">
      <w:numFmt w:val="bullet"/>
      <w:lvlText w:val="•"/>
      <w:lvlJc w:val="left"/>
      <w:pPr>
        <w:ind w:left="720" w:hanging="360"/>
      </w:pPr>
      <w:rPr>
        <w:rFonts w:hint="default" w:ascii="Aptos" w:hAnsi="Aptos" w:eastAsiaTheme="minorEastAsia" w:cstheme="minorBidi"/>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1" w15:restartNumberingAfterBreak="0">
    <w:nsid w:val="025A773F"/>
    <w:multiLevelType w:val="hybridMultilevel"/>
    <w:tmpl w:val="F160B872"/>
    <w:lvl w:ilvl="0" w:tplc="6E9A87E0">
      <w:numFmt w:val="bullet"/>
      <w:lvlText w:val="•"/>
      <w:lvlJc w:val="left"/>
      <w:pPr>
        <w:ind w:left="360" w:hanging="360"/>
      </w:pPr>
      <w:rPr>
        <w:rFonts w:hint="default" w:ascii="Aptos" w:hAnsi="Aptos" w:eastAsiaTheme="minorEastAsia" w:cstheme="minorBidi"/>
      </w:rPr>
    </w:lvl>
    <w:lvl w:ilvl="1" w:tplc="14090003" w:tentative="1">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12" w15:restartNumberingAfterBreak="0">
    <w:nsid w:val="03DF38F6"/>
    <w:multiLevelType w:val="hybridMultilevel"/>
    <w:tmpl w:val="F60CDE12"/>
    <w:lvl w:ilvl="0" w:tplc="6E9A87E0">
      <w:numFmt w:val="bullet"/>
      <w:lvlText w:val="•"/>
      <w:lvlJc w:val="left"/>
      <w:pPr>
        <w:ind w:left="720" w:hanging="360"/>
      </w:pPr>
      <w:rPr>
        <w:rFonts w:hint="default" w:ascii="Aptos" w:hAnsi="Aptos" w:eastAsiaTheme="minorEastAsia" w:cstheme="minorBidi"/>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3" w15:restartNumberingAfterBreak="0">
    <w:nsid w:val="0688441D"/>
    <w:multiLevelType w:val="multilevel"/>
    <w:tmpl w:val="BB0409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093D0836"/>
    <w:multiLevelType w:val="singleLevel"/>
    <w:tmpl w:val="04090001"/>
    <w:lvl w:ilvl="0">
      <w:start w:val="1"/>
      <w:numFmt w:val="bullet"/>
      <w:lvlText w:val=""/>
      <w:lvlJc w:val="left"/>
      <w:pPr>
        <w:ind w:left="720" w:hanging="360"/>
      </w:pPr>
      <w:rPr>
        <w:rFonts w:hint="default" w:ascii="Symbol" w:hAnsi="Symbol"/>
      </w:rPr>
    </w:lvl>
  </w:abstractNum>
  <w:abstractNum w:abstractNumId="15" w15:restartNumberingAfterBreak="0">
    <w:nsid w:val="0E051517"/>
    <w:multiLevelType w:val="multilevel"/>
    <w:tmpl w:val="9EB410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0E870855"/>
    <w:multiLevelType w:val="hybridMultilevel"/>
    <w:tmpl w:val="6430F410"/>
    <w:lvl w:ilvl="0" w:tplc="14090001">
      <w:start w:val="1"/>
      <w:numFmt w:val="bullet"/>
      <w:lvlText w:val=""/>
      <w:lvlJc w:val="left"/>
      <w:pPr>
        <w:ind w:left="1080" w:hanging="360"/>
      </w:pPr>
      <w:rPr>
        <w:rFonts w:hint="default" w:ascii="Symbol" w:hAnsi="Symbol"/>
      </w:rPr>
    </w:lvl>
    <w:lvl w:ilvl="1" w:tplc="14090003">
      <w:start w:val="1"/>
      <w:numFmt w:val="bullet"/>
      <w:lvlText w:val="o"/>
      <w:lvlJc w:val="left"/>
      <w:pPr>
        <w:ind w:left="1800" w:hanging="360"/>
      </w:pPr>
      <w:rPr>
        <w:rFonts w:hint="default" w:ascii="Courier New" w:hAnsi="Courier New" w:cs="Courier New"/>
      </w:rPr>
    </w:lvl>
    <w:lvl w:ilvl="2" w:tplc="14090005" w:tentative="1">
      <w:start w:val="1"/>
      <w:numFmt w:val="bullet"/>
      <w:lvlText w:val=""/>
      <w:lvlJc w:val="left"/>
      <w:pPr>
        <w:ind w:left="2520" w:hanging="360"/>
      </w:pPr>
      <w:rPr>
        <w:rFonts w:hint="default" w:ascii="Wingdings" w:hAnsi="Wingdings"/>
      </w:rPr>
    </w:lvl>
    <w:lvl w:ilvl="3" w:tplc="14090001" w:tentative="1">
      <w:start w:val="1"/>
      <w:numFmt w:val="bullet"/>
      <w:lvlText w:val=""/>
      <w:lvlJc w:val="left"/>
      <w:pPr>
        <w:ind w:left="3240" w:hanging="360"/>
      </w:pPr>
      <w:rPr>
        <w:rFonts w:hint="default" w:ascii="Symbol" w:hAnsi="Symbol"/>
      </w:rPr>
    </w:lvl>
    <w:lvl w:ilvl="4" w:tplc="14090003" w:tentative="1">
      <w:start w:val="1"/>
      <w:numFmt w:val="bullet"/>
      <w:lvlText w:val="o"/>
      <w:lvlJc w:val="left"/>
      <w:pPr>
        <w:ind w:left="3960" w:hanging="360"/>
      </w:pPr>
      <w:rPr>
        <w:rFonts w:hint="default" w:ascii="Courier New" w:hAnsi="Courier New" w:cs="Courier New"/>
      </w:rPr>
    </w:lvl>
    <w:lvl w:ilvl="5" w:tplc="14090005" w:tentative="1">
      <w:start w:val="1"/>
      <w:numFmt w:val="bullet"/>
      <w:lvlText w:val=""/>
      <w:lvlJc w:val="left"/>
      <w:pPr>
        <w:ind w:left="4680" w:hanging="360"/>
      </w:pPr>
      <w:rPr>
        <w:rFonts w:hint="default" w:ascii="Wingdings" w:hAnsi="Wingdings"/>
      </w:rPr>
    </w:lvl>
    <w:lvl w:ilvl="6" w:tplc="14090001" w:tentative="1">
      <w:start w:val="1"/>
      <w:numFmt w:val="bullet"/>
      <w:lvlText w:val=""/>
      <w:lvlJc w:val="left"/>
      <w:pPr>
        <w:ind w:left="5400" w:hanging="360"/>
      </w:pPr>
      <w:rPr>
        <w:rFonts w:hint="default" w:ascii="Symbol" w:hAnsi="Symbol"/>
      </w:rPr>
    </w:lvl>
    <w:lvl w:ilvl="7" w:tplc="14090003" w:tentative="1">
      <w:start w:val="1"/>
      <w:numFmt w:val="bullet"/>
      <w:lvlText w:val="o"/>
      <w:lvlJc w:val="left"/>
      <w:pPr>
        <w:ind w:left="6120" w:hanging="360"/>
      </w:pPr>
      <w:rPr>
        <w:rFonts w:hint="default" w:ascii="Courier New" w:hAnsi="Courier New" w:cs="Courier New"/>
      </w:rPr>
    </w:lvl>
    <w:lvl w:ilvl="8" w:tplc="14090005" w:tentative="1">
      <w:start w:val="1"/>
      <w:numFmt w:val="bullet"/>
      <w:lvlText w:val=""/>
      <w:lvlJc w:val="left"/>
      <w:pPr>
        <w:ind w:left="6840" w:hanging="360"/>
      </w:pPr>
      <w:rPr>
        <w:rFonts w:hint="default" w:ascii="Wingdings" w:hAnsi="Wingdings"/>
      </w:rPr>
    </w:lvl>
  </w:abstractNum>
  <w:abstractNum w:abstractNumId="17" w15:restartNumberingAfterBreak="0">
    <w:nsid w:val="0EC722DC"/>
    <w:multiLevelType w:val="hybridMultilevel"/>
    <w:tmpl w:val="0ABAF4C4"/>
    <w:lvl w:ilvl="0" w:tplc="6E9A87E0">
      <w:numFmt w:val="bullet"/>
      <w:lvlText w:val="•"/>
      <w:lvlJc w:val="left"/>
      <w:pPr>
        <w:ind w:left="720" w:hanging="360"/>
      </w:pPr>
      <w:rPr>
        <w:rFonts w:hint="default" w:ascii="Aptos" w:hAnsi="Aptos" w:eastAsiaTheme="minorEastAsia" w:cstheme="minorBidi"/>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8" w15:restartNumberingAfterBreak="0">
    <w:nsid w:val="27A21BC5"/>
    <w:multiLevelType w:val="hybridMultilevel"/>
    <w:tmpl w:val="47BA20B2"/>
    <w:lvl w:ilvl="0" w:tplc="9D684690">
      <w:start w:val="1"/>
      <w:numFmt w:val="decimal"/>
      <w:pStyle w:val="List"/>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2B581773"/>
    <w:multiLevelType w:val="hybridMultilevel"/>
    <w:tmpl w:val="794A88FE"/>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0" w15:restartNumberingAfterBreak="0">
    <w:nsid w:val="2FB74D64"/>
    <w:multiLevelType w:val="multilevel"/>
    <w:tmpl w:val="6E02AB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436433C"/>
    <w:multiLevelType w:val="multilevel"/>
    <w:tmpl w:val="4D82018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2" w15:restartNumberingAfterBreak="0">
    <w:nsid w:val="36C90A31"/>
    <w:multiLevelType w:val="hybridMultilevel"/>
    <w:tmpl w:val="41781822"/>
    <w:lvl w:ilvl="0" w:tplc="6E9A87E0">
      <w:numFmt w:val="bullet"/>
      <w:lvlText w:val="•"/>
      <w:lvlJc w:val="left"/>
      <w:pPr>
        <w:ind w:left="360" w:hanging="360"/>
      </w:pPr>
      <w:rPr>
        <w:rFonts w:hint="default" w:ascii="Aptos" w:hAnsi="Aptos" w:eastAsiaTheme="minorEastAsia" w:cstheme="minorBidi"/>
      </w:rPr>
    </w:lvl>
    <w:lvl w:ilvl="1" w:tplc="14090003" w:tentative="1">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23" w15:restartNumberingAfterBreak="0">
    <w:nsid w:val="3A691217"/>
    <w:multiLevelType w:val="multilevel"/>
    <w:tmpl w:val="53F2BA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3F3B6E02"/>
    <w:multiLevelType w:val="hybridMultilevel"/>
    <w:tmpl w:val="07C427F6"/>
    <w:lvl w:ilvl="0" w:tplc="6E9A87E0">
      <w:numFmt w:val="bullet"/>
      <w:lvlText w:val="•"/>
      <w:lvlJc w:val="left"/>
      <w:pPr>
        <w:ind w:left="360" w:hanging="360"/>
      </w:pPr>
      <w:rPr>
        <w:rFonts w:hint="default" w:ascii="Aptos" w:hAnsi="Aptos" w:eastAsiaTheme="minorEastAsia" w:cstheme="minorBidi"/>
      </w:rPr>
    </w:lvl>
    <w:lvl w:ilvl="1" w:tplc="14090003" w:tentative="1">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25" w15:restartNumberingAfterBreak="0">
    <w:nsid w:val="4124673C"/>
    <w:multiLevelType w:val="hybridMultilevel"/>
    <w:tmpl w:val="D8D060C4"/>
    <w:lvl w:ilvl="0" w:tplc="D5409370">
      <w:start w:val="1"/>
      <w:numFmt w:val="bullet"/>
      <w:lvlText w:val=""/>
      <w:lvlJc w:val="left"/>
      <w:pPr>
        <w:ind w:left="720" w:hanging="360"/>
      </w:pPr>
      <w:rPr>
        <w:rFonts w:hint="default" w:ascii="Symbol" w:hAnsi="Symbol"/>
      </w:rPr>
    </w:lvl>
    <w:lvl w:ilvl="1" w:tplc="D072366E">
      <w:start w:val="1"/>
      <w:numFmt w:val="bullet"/>
      <w:lvlText w:val="o"/>
      <w:lvlJc w:val="left"/>
      <w:pPr>
        <w:ind w:left="1440" w:hanging="360"/>
      </w:pPr>
      <w:rPr>
        <w:rFonts w:hint="default" w:ascii="Courier New" w:hAnsi="Courier New"/>
      </w:rPr>
    </w:lvl>
    <w:lvl w:ilvl="2" w:tplc="9F0C031A">
      <w:start w:val="1"/>
      <w:numFmt w:val="bullet"/>
      <w:lvlText w:val=""/>
      <w:lvlJc w:val="left"/>
      <w:pPr>
        <w:ind w:left="2160" w:hanging="360"/>
      </w:pPr>
      <w:rPr>
        <w:rFonts w:hint="default" w:ascii="Wingdings" w:hAnsi="Wingdings"/>
      </w:rPr>
    </w:lvl>
    <w:lvl w:ilvl="3" w:tplc="78A0196A">
      <w:start w:val="1"/>
      <w:numFmt w:val="bullet"/>
      <w:lvlText w:val=""/>
      <w:lvlJc w:val="left"/>
      <w:pPr>
        <w:ind w:left="2880" w:hanging="360"/>
      </w:pPr>
      <w:rPr>
        <w:rFonts w:hint="default" w:ascii="Symbol" w:hAnsi="Symbol"/>
      </w:rPr>
    </w:lvl>
    <w:lvl w:ilvl="4" w:tplc="6F78ABA4">
      <w:start w:val="1"/>
      <w:numFmt w:val="bullet"/>
      <w:lvlText w:val="o"/>
      <w:lvlJc w:val="left"/>
      <w:pPr>
        <w:ind w:left="3600" w:hanging="360"/>
      </w:pPr>
      <w:rPr>
        <w:rFonts w:hint="default" w:ascii="Courier New" w:hAnsi="Courier New"/>
      </w:rPr>
    </w:lvl>
    <w:lvl w:ilvl="5" w:tplc="598A84FA">
      <w:start w:val="1"/>
      <w:numFmt w:val="bullet"/>
      <w:lvlText w:val=""/>
      <w:lvlJc w:val="left"/>
      <w:pPr>
        <w:ind w:left="4320" w:hanging="360"/>
      </w:pPr>
      <w:rPr>
        <w:rFonts w:hint="default" w:ascii="Wingdings" w:hAnsi="Wingdings"/>
      </w:rPr>
    </w:lvl>
    <w:lvl w:ilvl="6" w:tplc="DEB8DE06">
      <w:start w:val="1"/>
      <w:numFmt w:val="bullet"/>
      <w:lvlText w:val=""/>
      <w:lvlJc w:val="left"/>
      <w:pPr>
        <w:ind w:left="5040" w:hanging="360"/>
      </w:pPr>
      <w:rPr>
        <w:rFonts w:hint="default" w:ascii="Symbol" w:hAnsi="Symbol"/>
      </w:rPr>
    </w:lvl>
    <w:lvl w:ilvl="7" w:tplc="5170A0D2">
      <w:start w:val="1"/>
      <w:numFmt w:val="bullet"/>
      <w:lvlText w:val="o"/>
      <w:lvlJc w:val="left"/>
      <w:pPr>
        <w:ind w:left="5760" w:hanging="360"/>
      </w:pPr>
      <w:rPr>
        <w:rFonts w:hint="default" w:ascii="Courier New" w:hAnsi="Courier New"/>
      </w:rPr>
    </w:lvl>
    <w:lvl w:ilvl="8" w:tplc="30BC132C">
      <w:start w:val="1"/>
      <w:numFmt w:val="bullet"/>
      <w:lvlText w:val=""/>
      <w:lvlJc w:val="left"/>
      <w:pPr>
        <w:ind w:left="6480" w:hanging="360"/>
      </w:pPr>
      <w:rPr>
        <w:rFonts w:hint="default" w:ascii="Wingdings" w:hAnsi="Wingdings"/>
      </w:rPr>
    </w:lvl>
  </w:abstractNum>
  <w:abstractNum w:abstractNumId="26" w15:restartNumberingAfterBreak="0">
    <w:nsid w:val="553B7E00"/>
    <w:multiLevelType w:val="hybridMultilevel"/>
    <w:tmpl w:val="5178F746"/>
    <w:lvl w:ilvl="0" w:tplc="6E9A87E0">
      <w:numFmt w:val="bullet"/>
      <w:lvlText w:val="•"/>
      <w:lvlJc w:val="left"/>
      <w:pPr>
        <w:ind w:left="720" w:hanging="360"/>
      </w:pPr>
      <w:rPr>
        <w:rFonts w:hint="default" w:ascii="Aptos" w:hAnsi="Aptos" w:eastAsiaTheme="minorEastAsia" w:cstheme="minorBidi"/>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7" w15:restartNumberingAfterBreak="0">
    <w:nsid w:val="604E682D"/>
    <w:multiLevelType w:val="hybridMultilevel"/>
    <w:tmpl w:val="BF8A9360"/>
    <w:lvl w:ilvl="0" w:tplc="6E9A87E0">
      <w:numFmt w:val="bullet"/>
      <w:lvlText w:val="•"/>
      <w:lvlJc w:val="left"/>
      <w:pPr>
        <w:ind w:left="360" w:hanging="360"/>
      </w:pPr>
      <w:rPr>
        <w:rFonts w:hint="default" w:ascii="Aptos" w:hAnsi="Aptos" w:eastAsiaTheme="minorEastAsia" w:cstheme="minorBidi"/>
      </w:rPr>
    </w:lvl>
    <w:lvl w:ilvl="1" w:tplc="14090003" w:tentative="1">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28" w15:restartNumberingAfterBreak="0">
    <w:nsid w:val="611B1F2D"/>
    <w:multiLevelType w:val="singleLevel"/>
    <w:tmpl w:val="0409000F"/>
    <w:lvl w:ilvl="0">
      <w:start w:val="1"/>
      <w:numFmt w:val="decimal"/>
      <w:lvlText w:val="%1."/>
      <w:lvlJc w:val="left"/>
      <w:pPr>
        <w:ind w:left="720" w:hanging="360"/>
      </w:pPr>
    </w:lvl>
  </w:abstractNum>
  <w:abstractNum w:abstractNumId="29" w15:restartNumberingAfterBreak="0">
    <w:nsid w:val="6CA53894"/>
    <w:multiLevelType w:val="singleLevel"/>
    <w:tmpl w:val="0409000F"/>
    <w:lvl w:ilvl="0">
      <w:start w:val="1"/>
      <w:numFmt w:val="decimal"/>
      <w:lvlText w:val="%1."/>
      <w:lvlJc w:val="left"/>
      <w:pPr>
        <w:ind w:left="720" w:hanging="360"/>
      </w:pPr>
    </w:lvl>
  </w:abstractNum>
  <w:abstractNum w:abstractNumId="30" w15:restartNumberingAfterBreak="0">
    <w:nsid w:val="6CBF362A"/>
    <w:multiLevelType w:val="singleLevel"/>
    <w:tmpl w:val="04090001"/>
    <w:lvl w:ilvl="0">
      <w:start w:val="1"/>
      <w:numFmt w:val="bullet"/>
      <w:lvlText w:val=""/>
      <w:lvlJc w:val="left"/>
      <w:pPr>
        <w:ind w:left="720" w:hanging="360"/>
      </w:pPr>
      <w:rPr>
        <w:rFonts w:hint="default" w:ascii="Symbol" w:hAnsi="Symbol"/>
      </w:rPr>
    </w:lvl>
  </w:abstractNum>
  <w:abstractNum w:abstractNumId="31" w15:restartNumberingAfterBreak="0">
    <w:nsid w:val="6E3B27BD"/>
    <w:multiLevelType w:val="multilevel"/>
    <w:tmpl w:val="4E14B5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775C56BB"/>
    <w:multiLevelType w:val="hybridMultilevel"/>
    <w:tmpl w:val="2232258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3"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4"/>
  </w:num>
  <w:num w:numId="12" w16cid:durableId="1273904881">
    <w:abstractNumId w:val="30"/>
  </w:num>
  <w:num w:numId="13" w16cid:durableId="2110588750">
    <w:abstractNumId w:val="29"/>
  </w:num>
  <w:num w:numId="14" w16cid:durableId="1730575300">
    <w:abstractNumId w:val="28"/>
  </w:num>
  <w:num w:numId="15" w16cid:durableId="2063938215">
    <w:abstractNumId w:val="33"/>
  </w:num>
  <w:num w:numId="16" w16cid:durableId="1416627709">
    <w:abstractNumId w:val="25"/>
  </w:num>
  <w:num w:numId="17" w16cid:durableId="1948539359">
    <w:abstractNumId w:val="20"/>
  </w:num>
  <w:num w:numId="18" w16cid:durableId="383989430">
    <w:abstractNumId w:val="15"/>
  </w:num>
  <w:num w:numId="19" w16cid:durableId="865288889">
    <w:abstractNumId w:val="31"/>
  </w:num>
  <w:num w:numId="20" w16cid:durableId="2000115772">
    <w:abstractNumId w:val="13"/>
  </w:num>
  <w:num w:numId="21" w16cid:durableId="353456573">
    <w:abstractNumId w:val="23"/>
  </w:num>
  <w:num w:numId="22" w16cid:durableId="1924294333">
    <w:abstractNumId w:val="19"/>
  </w:num>
  <w:num w:numId="23" w16cid:durableId="1645814390">
    <w:abstractNumId w:val="17"/>
  </w:num>
  <w:num w:numId="24" w16cid:durableId="1538077635">
    <w:abstractNumId w:val="10"/>
  </w:num>
  <w:num w:numId="25" w16cid:durableId="2003964629">
    <w:abstractNumId w:val="22"/>
  </w:num>
  <w:num w:numId="26" w16cid:durableId="1467351860">
    <w:abstractNumId w:val="11"/>
  </w:num>
  <w:num w:numId="27" w16cid:durableId="234053189">
    <w:abstractNumId w:val="24"/>
  </w:num>
  <w:num w:numId="28" w16cid:durableId="987979060">
    <w:abstractNumId w:val="26"/>
  </w:num>
  <w:num w:numId="29" w16cid:durableId="855463277">
    <w:abstractNumId w:val="12"/>
  </w:num>
  <w:num w:numId="30" w16cid:durableId="170534779">
    <w:abstractNumId w:val="27"/>
  </w:num>
  <w:num w:numId="31" w16cid:durableId="642732092">
    <w:abstractNumId w:val="16"/>
  </w:num>
  <w:num w:numId="32" w16cid:durableId="1873377020">
    <w:abstractNumId w:val="21"/>
  </w:num>
  <w:num w:numId="33" w16cid:durableId="1382825742">
    <w:abstractNumId w:val="18"/>
  </w:num>
  <w:num w:numId="34" w16cid:durableId="1949579837">
    <w:abstractNumId w:val="3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12DA4"/>
    <w:rsid w:val="0001417D"/>
    <w:rsid w:val="0001445B"/>
    <w:rsid w:val="00014963"/>
    <w:rsid w:val="000177DF"/>
    <w:rsid w:val="00031F6C"/>
    <w:rsid w:val="000368F2"/>
    <w:rsid w:val="000457C9"/>
    <w:rsid w:val="00051EB9"/>
    <w:rsid w:val="00071757"/>
    <w:rsid w:val="000743FB"/>
    <w:rsid w:val="000A6343"/>
    <w:rsid w:val="000A6CA0"/>
    <w:rsid w:val="000B0AAA"/>
    <w:rsid w:val="000C104E"/>
    <w:rsid w:val="000C221C"/>
    <w:rsid w:val="000D03A7"/>
    <w:rsid w:val="00103F7F"/>
    <w:rsid w:val="00113A6D"/>
    <w:rsid w:val="00116717"/>
    <w:rsid w:val="001172CC"/>
    <w:rsid w:val="00120872"/>
    <w:rsid w:val="001216ED"/>
    <w:rsid w:val="00125677"/>
    <w:rsid w:val="001322A1"/>
    <w:rsid w:val="001657DB"/>
    <w:rsid w:val="00196788"/>
    <w:rsid w:val="001C4510"/>
    <w:rsid w:val="001D6240"/>
    <w:rsid w:val="001F40EA"/>
    <w:rsid w:val="001F7357"/>
    <w:rsid w:val="00203966"/>
    <w:rsid w:val="00227432"/>
    <w:rsid w:val="00240515"/>
    <w:rsid w:val="00244026"/>
    <w:rsid w:val="00247E2B"/>
    <w:rsid w:val="00251141"/>
    <w:rsid w:val="0027067D"/>
    <w:rsid w:val="00284405"/>
    <w:rsid w:val="0029261A"/>
    <w:rsid w:val="00296426"/>
    <w:rsid w:val="002A2059"/>
    <w:rsid w:val="002A24FE"/>
    <w:rsid w:val="002A62FF"/>
    <w:rsid w:val="002B118E"/>
    <w:rsid w:val="002B4859"/>
    <w:rsid w:val="002D2F46"/>
    <w:rsid w:val="002E51AB"/>
    <w:rsid w:val="00306F1F"/>
    <w:rsid w:val="0031609E"/>
    <w:rsid w:val="00324B44"/>
    <w:rsid w:val="003267C9"/>
    <w:rsid w:val="0034194A"/>
    <w:rsid w:val="00346AE4"/>
    <w:rsid w:val="00356B19"/>
    <w:rsid w:val="00363F25"/>
    <w:rsid w:val="0036562D"/>
    <w:rsid w:val="00374D71"/>
    <w:rsid w:val="00390DF5"/>
    <w:rsid w:val="0039136D"/>
    <w:rsid w:val="003A18AB"/>
    <w:rsid w:val="003B1A46"/>
    <w:rsid w:val="003B3FCF"/>
    <w:rsid w:val="003B42F6"/>
    <w:rsid w:val="003F188F"/>
    <w:rsid w:val="004265A4"/>
    <w:rsid w:val="0042681E"/>
    <w:rsid w:val="0043436F"/>
    <w:rsid w:val="00453CAD"/>
    <w:rsid w:val="004744B0"/>
    <w:rsid w:val="0048393F"/>
    <w:rsid w:val="004976E0"/>
    <w:rsid w:val="004A05FA"/>
    <w:rsid w:val="004A2531"/>
    <w:rsid w:val="004A45F2"/>
    <w:rsid w:val="004A4A9C"/>
    <w:rsid w:val="004D6E39"/>
    <w:rsid w:val="005105F5"/>
    <w:rsid w:val="0051108A"/>
    <w:rsid w:val="00526488"/>
    <w:rsid w:val="00533BF4"/>
    <w:rsid w:val="00542644"/>
    <w:rsid w:val="005430DC"/>
    <w:rsid w:val="00543F04"/>
    <w:rsid w:val="005670D0"/>
    <w:rsid w:val="0057439B"/>
    <w:rsid w:val="00576561"/>
    <w:rsid w:val="0058788A"/>
    <w:rsid w:val="005A534A"/>
    <w:rsid w:val="005B6144"/>
    <w:rsid w:val="005D01D7"/>
    <w:rsid w:val="005D21F5"/>
    <w:rsid w:val="005E5847"/>
    <w:rsid w:val="00600D2D"/>
    <w:rsid w:val="00606DDE"/>
    <w:rsid w:val="0061057C"/>
    <w:rsid w:val="006325FE"/>
    <w:rsid w:val="006429B6"/>
    <w:rsid w:val="00644BB3"/>
    <w:rsid w:val="006463DC"/>
    <w:rsid w:val="00647402"/>
    <w:rsid w:val="00660064"/>
    <w:rsid w:val="00665982"/>
    <w:rsid w:val="00685483"/>
    <w:rsid w:val="00690087"/>
    <w:rsid w:val="0069647E"/>
    <w:rsid w:val="00697A28"/>
    <w:rsid w:val="006C1ACC"/>
    <w:rsid w:val="006C3658"/>
    <w:rsid w:val="006F5BE9"/>
    <w:rsid w:val="00701F85"/>
    <w:rsid w:val="00703B0F"/>
    <w:rsid w:val="00710BAA"/>
    <w:rsid w:val="00720E06"/>
    <w:rsid w:val="00721E45"/>
    <w:rsid w:val="0073565B"/>
    <w:rsid w:val="00736943"/>
    <w:rsid w:val="00736D4D"/>
    <w:rsid w:val="007404C7"/>
    <w:rsid w:val="0075746F"/>
    <w:rsid w:val="007716E8"/>
    <w:rsid w:val="007734E2"/>
    <w:rsid w:val="00794059"/>
    <w:rsid w:val="007B2474"/>
    <w:rsid w:val="007B58DF"/>
    <w:rsid w:val="007C3692"/>
    <w:rsid w:val="007C3992"/>
    <w:rsid w:val="007D234A"/>
    <w:rsid w:val="007D799E"/>
    <w:rsid w:val="007E079D"/>
    <w:rsid w:val="007F2987"/>
    <w:rsid w:val="008101EF"/>
    <w:rsid w:val="008121EB"/>
    <w:rsid w:val="008138DC"/>
    <w:rsid w:val="00820B36"/>
    <w:rsid w:val="00820B55"/>
    <w:rsid w:val="00827C87"/>
    <w:rsid w:val="00832982"/>
    <w:rsid w:val="00840B01"/>
    <w:rsid w:val="00844CF2"/>
    <w:rsid w:val="00856A97"/>
    <w:rsid w:val="00870673"/>
    <w:rsid w:val="008730C0"/>
    <w:rsid w:val="008759E4"/>
    <w:rsid w:val="00885B77"/>
    <w:rsid w:val="00887631"/>
    <w:rsid w:val="008C5B00"/>
    <w:rsid w:val="008D6DBB"/>
    <w:rsid w:val="008E4D85"/>
    <w:rsid w:val="00907732"/>
    <w:rsid w:val="00910A7B"/>
    <w:rsid w:val="00917039"/>
    <w:rsid w:val="0092724B"/>
    <w:rsid w:val="009334E3"/>
    <w:rsid w:val="00942AE1"/>
    <w:rsid w:val="00947BB6"/>
    <w:rsid w:val="00967FCF"/>
    <w:rsid w:val="009705D0"/>
    <w:rsid w:val="00970746"/>
    <w:rsid w:val="00976A74"/>
    <w:rsid w:val="00985666"/>
    <w:rsid w:val="00990598"/>
    <w:rsid w:val="00995985"/>
    <w:rsid w:val="009A3639"/>
    <w:rsid w:val="009B0858"/>
    <w:rsid w:val="009B4D4D"/>
    <w:rsid w:val="009C03DF"/>
    <w:rsid w:val="009D006D"/>
    <w:rsid w:val="009D181D"/>
    <w:rsid w:val="009D5D5D"/>
    <w:rsid w:val="009F49DC"/>
    <w:rsid w:val="009F5F4B"/>
    <w:rsid w:val="00A06903"/>
    <w:rsid w:val="00A20880"/>
    <w:rsid w:val="00A22016"/>
    <w:rsid w:val="00A352C8"/>
    <w:rsid w:val="00A86FDC"/>
    <w:rsid w:val="00AA0A26"/>
    <w:rsid w:val="00AA7F10"/>
    <w:rsid w:val="00AB2653"/>
    <w:rsid w:val="00AE440A"/>
    <w:rsid w:val="00B04DDC"/>
    <w:rsid w:val="00B10C61"/>
    <w:rsid w:val="00B41C2B"/>
    <w:rsid w:val="00B43625"/>
    <w:rsid w:val="00B5546A"/>
    <w:rsid w:val="00B568FF"/>
    <w:rsid w:val="00B6482C"/>
    <w:rsid w:val="00B72866"/>
    <w:rsid w:val="00B82E0E"/>
    <w:rsid w:val="00B87635"/>
    <w:rsid w:val="00B903BA"/>
    <w:rsid w:val="00BA0420"/>
    <w:rsid w:val="00BC6AA3"/>
    <w:rsid w:val="00BD0D1E"/>
    <w:rsid w:val="00C0143B"/>
    <w:rsid w:val="00C07397"/>
    <w:rsid w:val="00C20EB0"/>
    <w:rsid w:val="00C26D93"/>
    <w:rsid w:val="00C27141"/>
    <w:rsid w:val="00C4176F"/>
    <w:rsid w:val="00C54EA5"/>
    <w:rsid w:val="00C57F0B"/>
    <w:rsid w:val="00C90524"/>
    <w:rsid w:val="00CA0FF9"/>
    <w:rsid w:val="00CB3055"/>
    <w:rsid w:val="00CB79E2"/>
    <w:rsid w:val="00CC757C"/>
    <w:rsid w:val="00CC7AEF"/>
    <w:rsid w:val="00CE5385"/>
    <w:rsid w:val="00CE7746"/>
    <w:rsid w:val="00D16662"/>
    <w:rsid w:val="00D17696"/>
    <w:rsid w:val="00D32292"/>
    <w:rsid w:val="00D35A98"/>
    <w:rsid w:val="00D46917"/>
    <w:rsid w:val="00D46933"/>
    <w:rsid w:val="00D52E36"/>
    <w:rsid w:val="00D724F7"/>
    <w:rsid w:val="00D75435"/>
    <w:rsid w:val="00D85462"/>
    <w:rsid w:val="00D93601"/>
    <w:rsid w:val="00D95C79"/>
    <w:rsid w:val="00DA6C12"/>
    <w:rsid w:val="00DD13AD"/>
    <w:rsid w:val="00DD435B"/>
    <w:rsid w:val="00DE4381"/>
    <w:rsid w:val="00DE5146"/>
    <w:rsid w:val="00DE5B02"/>
    <w:rsid w:val="00DF2FBF"/>
    <w:rsid w:val="00DF79CA"/>
    <w:rsid w:val="00E01B8F"/>
    <w:rsid w:val="00E04E5D"/>
    <w:rsid w:val="00E20B3F"/>
    <w:rsid w:val="00E417E0"/>
    <w:rsid w:val="00E43E02"/>
    <w:rsid w:val="00E4620D"/>
    <w:rsid w:val="00E66E3F"/>
    <w:rsid w:val="00E70AC7"/>
    <w:rsid w:val="00E86246"/>
    <w:rsid w:val="00E90B6C"/>
    <w:rsid w:val="00E936E3"/>
    <w:rsid w:val="00ED2AF4"/>
    <w:rsid w:val="00ED4700"/>
    <w:rsid w:val="00EE3D92"/>
    <w:rsid w:val="00F002F9"/>
    <w:rsid w:val="00F25153"/>
    <w:rsid w:val="00F312F7"/>
    <w:rsid w:val="00F43E9F"/>
    <w:rsid w:val="00F53066"/>
    <w:rsid w:val="00F6362B"/>
    <w:rsid w:val="00F71A84"/>
    <w:rsid w:val="00F95590"/>
    <w:rsid w:val="00F962B7"/>
    <w:rsid w:val="00FB2766"/>
    <w:rsid w:val="00FB3270"/>
    <w:rsid w:val="00FC642E"/>
    <w:rsid w:val="03F1B67F"/>
    <w:rsid w:val="0B6C4734"/>
    <w:rsid w:val="145DDC06"/>
    <w:rsid w:val="19BDCE82"/>
    <w:rsid w:val="1AE30756"/>
    <w:rsid w:val="1E2D1F04"/>
    <w:rsid w:val="1F8D6634"/>
    <w:rsid w:val="22C034D4"/>
    <w:rsid w:val="3099D1E3"/>
    <w:rsid w:val="30A8A375"/>
    <w:rsid w:val="370F4FAD"/>
    <w:rsid w:val="3E69EC8C"/>
    <w:rsid w:val="42F51039"/>
    <w:rsid w:val="47684F0C"/>
    <w:rsid w:val="4C9D2FD7"/>
    <w:rsid w:val="4DC79EA7"/>
    <w:rsid w:val="4FAB659B"/>
    <w:rsid w:val="5DEBE129"/>
    <w:rsid w:val="61E44670"/>
    <w:rsid w:val="6407A84A"/>
    <w:rsid w:val="6C8F65A7"/>
    <w:rsid w:val="77A6A9EF"/>
    <w:rsid w:val="79FE54CA"/>
    <w:rsid w:val="7A8951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2D7BF"/>
  <w15:chartTrackingRefBased/>
  <w15:docId w15:val="{D745E40B-03CB-45CA-A742-9217D56BE48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D234A"/>
    <w:rPr>
      <w:sz w:val="22"/>
      <w:szCs w:val="22"/>
    </w:rPr>
  </w:style>
  <w:style w:type="paragraph" w:styleId="Heading1">
    <w:name w:val="heading 1"/>
    <w:basedOn w:val="Normal"/>
    <w:next w:val="Normal"/>
    <w:link w:val="Heading1Char"/>
    <w:uiPriority w:val="9"/>
    <w:qFormat/>
    <w:rsid w:val="00D16662"/>
    <w:pPr>
      <w:keepNext/>
      <w:keepLines/>
      <w:spacing w:before="360" w:after="80"/>
      <w:outlineLvl w:val="0"/>
    </w:pPr>
    <w:rPr>
      <w:rFonts w:asciiTheme="majorHAnsi" w:hAnsiTheme="majorHAnsi" w:eastAsiaTheme="majorEastAsia" w:cstheme="majorBidi"/>
      <w:color w:val="C00000"/>
      <w:sz w:val="33"/>
      <w:szCs w:val="33"/>
    </w:rPr>
  </w:style>
  <w:style w:type="paragraph" w:styleId="Heading2">
    <w:name w:val="heading 2"/>
    <w:basedOn w:val="Normal"/>
    <w:next w:val="Normal"/>
    <w:link w:val="Heading2Char"/>
    <w:uiPriority w:val="9"/>
    <w:unhideWhenUsed/>
    <w:qFormat/>
    <w:rsid w:val="00D16662"/>
    <w:pPr>
      <w:keepNext/>
      <w:keepLines/>
      <w:spacing w:before="160" w:after="80"/>
      <w:outlineLvl w:val="1"/>
    </w:pPr>
    <w:rPr>
      <w:rFonts w:asciiTheme="majorHAnsi" w:hAnsiTheme="majorHAnsi" w:eastAsiaTheme="majorEastAsia" w:cstheme="majorBidi"/>
      <w:color w:val="C00000"/>
      <w:sz w:val="32"/>
      <w:szCs w:val="32"/>
    </w:rPr>
  </w:style>
  <w:style w:type="paragraph" w:styleId="Heading3">
    <w:name w:val="heading 3"/>
    <w:basedOn w:val="Normal"/>
    <w:next w:val="Normal"/>
    <w:link w:val="Heading3Char"/>
    <w:uiPriority w:val="9"/>
    <w:unhideWhenUsed/>
    <w:qFormat/>
    <w:rsid w:val="00887631"/>
    <w:pPr>
      <w:keepNext/>
      <w:keepLines/>
      <w:spacing w:before="160" w:after="80"/>
      <w:outlineLvl w:val="2"/>
    </w:pPr>
    <w:rPr>
      <w:rFonts w:eastAsiaTheme="majorEastAsia" w:cstheme="majorBidi"/>
      <w:color w:val="C00000"/>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16662"/>
    <w:rPr>
      <w:rFonts w:asciiTheme="majorHAnsi" w:hAnsiTheme="majorHAnsi" w:eastAsiaTheme="majorEastAsia" w:cstheme="majorBidi"/>
      <w:color w:val="C00000"/>
      <w:sz w:val="33"/>
      <w:szCs w:val="33"/>
    </w:rPr>
  </w:style>
  <w:style w:type="character" w:styleId="Heading2Char" w:customStyle="1">
    <w:name w:val="Heading 2 Char"/>
    <w:basedOn w:val="DefaultParagraphFont"/>
    <w:link w:val="Heading2"/>
    <w:uiPriority w:val="9"/>
    <w:rsid w:val="00D16662"/>
    <w:rPr>
      <w:rFonts w:asciiTheme="majorHAnsi" w:hAnsiTheme="majorHAnsi" w:eastAsiaTheme="majorEastAsia" w:cstheme="majorBidi"/>
      <w:color w:val="C00000"/>
      <w:sz w:val="32"/>
      <w:szCs w:val="32"/>
    </w:rPr>
  </w:style>
  <w:style w:type="character" w:styleId="Heading3Char" w:customStyle="1">
    <w:name w:val="Heading 3 Char"/>
    <w:basedOn w:val="DefaultParagraphFont"/>
    <w:link w:val="Heading3"/>
    <w:uiPriority w:val="9"/>
    <w:rsid w:val="00887631"/>
    <w:rPr>
      <w:rFonts w:eastAsiaTheme="majorEastAsia" w:cstheme="majorBidi"/>
      <w:color w:val="C00000"/>
      <w:sz w:val="22"/>
      <w:szCs w:val="28"/>
    </w:rPr>
  </w:style>
  <w:style w:type="character" w:styleId="Heading4Char" w:customStyle="1">
    <w:name w:val="Heading 4 Char"/>
    <w:basedOn w:val="DefaultParagraphFont"/>
    <w:link w:val="Heading4"/>
    <w:uiPriority w:val="9"/>
    <w:rsid w:val="00827C8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827C87"/>
    <w:rPr>
      <w:rFonts w:eastAsiaTheme="majorEastAsia" w:cstheme="majorBidi"/>
      <w:color w:val="0F4761" w:themeColor="accent1" w:themeShade="BF"/>
    </w:rPr>
  </w:style>
  <w:style w:type="character" w:styleId="Heading6Char" w:customStyle="1">
    <w:name w:val="Heading 6 Char"/>
    <w:basedOn w:val="DefaultParagraphFont"/>
    <w:link w:val="Heading6"/>
    <w:uiPriority w:val="9"/>
    <w:rsid w:val="00827C8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sid w:val="00827C87"/>
    <w:rPr>
      <w:rFonts w:eastAsiaTheme="majorEastAsia" w:cstheme="majorBidi"/>
      <w:color w:val="595959" w:themeColor="text1" w:themeTint="A6"/>
    </w:rPr>
  </w:style>
  <w:style w:type="character" w:styleId="Heading8Char" w:customStyle="1">
    <w:name w:val="Heading 8 Char"/>
    <w:basedOn w:val="DefaultParagraphFont"/>
    <w:link w:val="Heading8"/>
    <w:uiPriority w:val="9"/>
    <w:rsid w:val="00827C8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27C8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styleId="QuoteChar" w:customStyle="1">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color="156082" w:themeColor="accent1" w:sz="2" w:space="10"/>
        <w:left w:val="single" w:color="156082" w:themeColor="accent1" w:sz="2" w:space="10"/>
        <w:bottom w:val="single" w:color="156082" w:themeColor="accent1" w:sz="2" w:space="10"/>
        <w:right w:val="single" w:color="156082" w:themeColor="accent1" w:sz="2" w:space="10"/>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styleId="BodyTextChar" w:customStyle="1">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styleId="BodyText2Char" w:customStyle="1">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styleId="BodyText3Char" w:customStyle="1">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styleId="BodyTextFirstIndentChar" w:customStyle="1">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styleId="BodyTextIndentChar" w:customStyle="1">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styleId="BodyTextFirstIndent2Char" w:customStyle="1">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styleId="BodyTextIndent2Char" w:customStyle="1">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styleId="BodyTextIndent3Char" w:customStyle="1">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styleId="ClosingChar" w:customStyle="1">
    <w:name w:val="Closing Char"/>
    <w:basedOn w:val="DefaultParagraphFont"/>
    <w:link w:val="Closing"/>
    <w:uiPriority w:val="99"/>
    <w:rsid w:val="00827C87"/>
  </w:style>
  <w:style w:type="paragraph" w:styleId="CommentText">
    <w:name w:val="Comment Text"/>
    <w:basedOn w:val="Normal"/>
    <w:link w:val="CommentTextChar"/>
    <w:uiPriority w:val="99"/>
    <w:unhideWhenUsed/>
    <w:rsid w:val="00827C87"/>
    <w:pPr>
      <w:spacing w:line="240" w:lineRule="auto"/>
    </w:pPr>
    <w:rPr>
      <w:sz w:val="20"/>
      <w:szCs w:val="20"/>
    </w:rPr>
  </w:style>
  <w:style w:type="character" w:styleId="CommentTextChar" w:customStyle="1">
    <w:name w:val="Comment Text Char"/>
    <w:basedOn w:val="DefaultParagraphFont"/>
    <w:link w:val="CommentText"/>
    <w:uiPriority w:val="99"/>
    <w:rsid w:val="00827C87"/>
    <w:rPr>
      <w:sz w:val="20"/>
      <w:szCs w:val="20"/>
    </w:rPr>
  </w:style>
  <w:style w:type="paragraph" w:styleId="CommentSubject">
    <w:name w:val="Comment Subject"/>
    <w:basedOn w:val="CommentText"/>
    <w:next w:val="CommentText"/>
    <w:link w:val="CommentSubjectChar"/>
    <w:uiPriority w:val="99"/>
    <w:unhideWhenUsed/>
    <w:rsid w:val="00827C87"/>
    <w:rPr>
      <w:b/>
      <w:bCs/>
    </w:rPr>
  </w:style>
  <w:style w:type="character" w:styleId="CommentSubjectChar" w:customStyle="1">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styleId="DateChar" w:customStyle="1">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styleId="DocumentMapChar" w:customStyle="1">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styleId="E-mailSignatureChar" w:customStyle="1">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styleId="EndnoteTextChar" w:customStyle="1">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Space="180" w:wrap="auto" w:hAnchor="page" w:xAlign="center" w:yAlign="bottom" w:hRule="exact"/>
      <w:spacing w:after="0" w:line="240" w:lineRule="auto"/>
      <w:ind w:left="2880"/>
    </w:pPr>
    <w:rPr>
      <w:rFonts w:asciiTheme="majorHAnsi" w:hAnsiTheme="majorHAnsi" w:eastAsiaTheme="majorEastAsia" w:cstheme="majorBidi"/>
    </w:rPr>
  </w:style>
  <w:style w:type="paragraph" w:styleId="EnvelopeReturn">
    <w:name w:val="envelope return"/>
    <w:basedOn w:val="Normal"/>
    <w:uiPriority w:val="99"/>
    <w:unhideWhenUsed/>
    <w:rsid w:val="00827C87"/>
    <w:pPr>
      <w:spacing w:after="0" w:line="240" w:lineRule="auto"/>
    </w:pPr>
    <w:rPr>
      <w:rFonts w:asciiTheme="majorHAnsi" w:hAnsiTheme="majorHAnsi" w:eastAsiaTheme="majorEastAsia"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styleId="FooterChar" w:customStyle="1">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styleId="FootnoteTextChar" w:customStyle="1">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styleId="HeaderChar" w:customStyle="1">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styleId="HTMLAddressChar" w:customStyle="1">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hAnsiTheme="majorHAnsi" w:eastAsiaTheme="majorEastAsia" w:cstheme="majorBidi"/>
      <w:b/>
      <w:bCs/>
    </w:rPr>
  </w:style>
  <w:style w:type="paragraph" w:styleId="List0">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styleId="MacroTextChar" w:customStyle="1">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color="auto" w:sz="6" w:space="1"/>
        <w:left w:val="single" w:color="auto" w:sz="6" w:space="1"/>
        <w:bottom w:val="single" w:color="auto" w:sz="6" w:space="1"/>
        <w:right w:val="single" w:color="auto" w:sz="6" w:space="1"/>
      </w:pBdr>
      <w:shd w:val="pct20" w:color="auto" w:fill="auto"/>
      <w:spacing w:after="0" w:line="240" w:lineRule="auto"/>
      <w:ind w:left="1080" w:hanging="1080"/>
    </w:pPr>
    <w:rPr>
      <w:rFonts w:asciiTheme="majorHAnsi" w:hAnsiTheme="majorHAnsi" w:eastAsiaTheme="majorEastAsia" w:cstheme="majorBidi"/>
    </w:rPr>
  </w:style>
  <w:style w:type="character" w:styleId="MessageHeaderChar" w:customStyle="1">
    <w:name w:val="Message Header Char"/>
    <w:basedOn w:val="DefaultParagraphFont"/>
    <w:link w:val="MessageHeader"/>
    <w:uiPriority w:val="99"/>
    <w:rsid w:val="00827C87"/>
    <w:rPr>
      <w:rFonts w:asciiTheme="majorHAnsi" w:hAnsiTheme="majorHAnsi" w:eastAsiaTheme="majorEastAsia" w:cstheme="majorBidi"/>
      <w:shd w:val="pct20" w:color="auto" w:fill="auto"/>
    </w:rPr>
  </w:style>
  <w:style w:type="paragraph" w:styleId="NoSpacing">
    <w:name w:val="No Spacing"/>
    <w:link w:val="NoSpacingChar"/>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styleId="NoteHeadingChar" w:customStyle="1">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styleId="PlainTextChar" w:customStyle="1">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styleId="SalutationChar" w:customStyle="1">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styleId="SignatureChar" w:customStyle="1">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hAnsiTheme="majorHAnsi" w:eastAsiaTheme="majorEastAsia"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CC5416" w:themeFill="accent2" w:themeFillShade="CC"/>
      </w:tcPr>
    </w:tblStylePr>
    <w:tblStylePr w:type="lastRow">
      <w:rPr>
        <w:b/>
        <w:bCs/>
        <w:color w:val="CC5416"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color="FFFFFF" w:themeColor="background1" w:sz="12" w:space="0"/>
        </w:tcBorders>
        <w:shd w:val="clear" w:color="auto" w:fill="CC5416" w:themeFill="accent2" w:themeFillShade="CC"/>
      </w:tcPr>
    </w:tblStylePr>
    <w:tblStylePr w:type="lastRow">
      <w:rPr>
        <w:b/>
        <w:bCs/>
        <w:color w:val="CC5416"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color="FFFFFF" w:themeColor="background1" w:sz="12" w:space="0"/>
        </w:tcBorders>
        <w:shd w:val="clear" w:color="auto" w:fill="CC5416" w:themeFill="accent2" w:themeFillShade="CC"/>
      </w:tcPr>
    </w:tblStylePr>
    <w:tblStylePr w:type="lastRow">
      <w:rPr>
        <w:b/>
        <w:bCs/>
        <w:color w:val="CC5416"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color="FFFFFF" w:themeColor="background1" w:sz="12" w:space="0"/>
        </w:tcBorders>
        <w:shd w:val="clear" w:color="auto" w:fill="0C7EAA" w:themeFill="accent4" w:themeFillShade="CC"/>
      </w:tcPr>
    </w:tblStylePr>
    <w:tblStylePr w:type="lastRow">
      <w:rPr>
        <w:b/>
        <w:bCs/>
        <w:color w:val="0C7EAA"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color="FFFFFF" w:themeColor="background1" w:sz="12" w:space="0"/>
        </w:tcBorders>
        <w:shd w:val="clear" w:color="auto" w:fill="14551C" w:themeFill="accent3" w:themeFillShade="CC"/>
      </w:tcPr>
    </w:tblStylePr>
    <w:tblStylePr w:type="lastRow">
      <w:rPr>
        <w:b/>
        <w:bCs/>
        <w:color w:val="14551C"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color="FFFFFF" w:themeColor="background1" w:sz="12" w:space="0"/>
        </w:tcBorders>
        <w:shd w:val="clear" w:color="auto" w:fill="3E8524" w:themeFill="accent6" w:themeFillShade="CC"/>
      </w:tcPr>
    </w:tblStylePr>
    <w:tblStylePr w:type="lastRow">
      <w:rPr>
        <w:b/>
        <w:bCs/>
        <w:color w:val="3E8524"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color="FFFFFF" w:themeColor="background1" w:sz="12" w:space="0"/>
        </w:tcBorders>
        <w:shd w:val="clear" w:color="auto" w:fill="7F2275" w:themeFill="accent5" w:themeFillShade="CC"/>
      </w:tcPr>
    </w:tblStylePr>
    <w:tblStylePr w:type="lastRow">
      <w:rPr>
        <w:b/>
        <w:bCs/>
        <w:color w:val="7F227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color="E97132"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color="E97132" w:themeColor="accent2" w:sz="24" w:space="0"/>
        <w:left w:val="single" w:color="156082" w:themeColor="accent1" w:sz="4" w:space="0"/>
        <w:bottom w:val="single" w:color="156082" w:themeColor="accent1" w:sz="4" w:space="0"/>
        <w:right w:val="single" w:color="156082" w:themeColor="accent1" w:sz="4" w:space="0"/>
        <w:insideH w:val="single" w:color="FFFFFF" w:themeColor="background1" w:sz="4" w:space="0"/>
        <w:insideV w:val="single" w:color="FFFFFF" w:themeColor="background1" w:sz="4" w:space="0"/>
      </w:tblBorders>
    </w:tblPr>
    <w:tcPr>
      <w:shd w:val="clear" w:color="auto" w:fill="E0F2FA" w:themeFill="accent1" w:themeFillTint="19"/>
    </w:tcPr>
    <w:tblStylePr w:type="firstRow">
      <w:rPr>
        <w:b/>
        <w:bCs/>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color="0C394D" w:themeColor="accent1" w:themeShade="99" w:sz="4" w:space="0"/>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color="E97132" w:themeColor="accent2" w:sz="24" w:space="0"/>
        <w:left w:val="single" w:color="E97132" w:themeColor="accent2" w:sz="4" w:space="0"/>
        <w:bottom w:val="single" w:color="E97132" w:themeColor="accent2" w:sz="4" w:space="0"/>
        <w:right w:val="single" w:color="E97132" w:themeColor="accent2" w:sz="4" w:space="0"/>
        <w:insideH w:val="single" w:color="FFFFFF" w:themeColor="background1" w:sz="4" w:space="0"/>
        <w:insideV w:val="single" w:color="FFFFFF" w:themeColor="background1" w:sz="4" w:space="0"/>
      </w:tblBorders>
    </w:tblPr>
    <w:tcPr>
      <w:shd w:val="clear" w:color="auto" w:fill="FCF0EA" w:themeFill="accent2" w:themeFillTint="19"/>
    </w:tcPr>
    <w:tblStylePr w:type="firstRow">
      <w:rPr>
        <w:b/>
        <w:bCs/>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color="993F10" w:themeColor="accent2" w:themeShade="99" w:sz="4" w:space="0"/>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color="0F9ED5" w:themeColor="accent4" w:sz="24" w:space="0"/>
        <w:left w:val="single" w:color="196B24" w:themeColor="accent3" w:sz="4" w:space="0"/>
        <w:bottom w:val="single" w:color="196B24" w:themeColor="accent3" w:sz="4" w:space="0"/>
        <w:right w:val="single" w:color="196B24" w:themeColor="accent3" w:sz="4" w:space="0"/>
        <w:insideH w:val="single" w:color="FFFFFF" w:themeColor="background1" w:sz="4" w:space="0"/>
        <w:insideV w:val="single" w:color="FFFFFF" w:themeColor="background1" w:sz="4" w:space="0"/>
      </w:tblBorders>
    </w:tblPr>
    <w:tcPr>
      <w:shd w:val="clear" w:color="auto" w:fill="E0F8E3" w:themeFill="accent3" w:themeFillTint="19"/>
    </w:tcPr>
    <w:tblStylePr w:type="firstRow">
      <w:rPr>
        <w:b/>
        <w:bCs/>
      </w:rPr>
      <w:tblPr/>
      <w:tcPr>
        <w:tcBorders>
          <w:top w:val="nil"/>
          <w:left w:val="nil"/>
          <w:bottom w:val="single" w:color="0F9ED5"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color="0F4015" w:themeColor="accent3" w:themeShade="99" w:sz="4" w:space="0"/>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color="196B24" w:themeColor="accent3" w:sz="24" w:space="0"/>
        <w:left w:val="single" w:color="0F9ED5" w:themeColor="accent4" w:sz="4" w:space="0"/>
        <w:bottom w:val="single" w:color="0F9ED5" w:themeColor="accent4" w:sz="4" w:space="0"/>
        <w:right w:val="single" w:color="0F9ED5" w:themeColor="accent4" w:sz="4" w:space="0"/>
        <w:insideH w:val="single" w:color="FFFFFF" w:themeColor="background1" w:sz="4" w:space="0"/>
        <w:insideV w:val="single" w:color="FFFFFF" w:themeColor="background1" w:sz="4" w:space="0"/>
      </w:tblBorders>
    </w:tblPr>
    <w:tcPr>
      <w:shd w:val="clear" w:color="auto" w:fill="E5F6FD" w:themeFill="accent4" w:themeFillTint="19"/>
    </w:tcPr>
    <w:tblStylePr w:type="firstRow">
      <w:rPr>
        <w:b/>
        <w:bCs/>
      </w:rPr>
      <w:tblPr/>
      <w:tcPr>
        <w:tcBorders>
          <w:top w:val="nil"/>
          <w:left w:val="nil"/>
          <w:bottom w:val="single" w:color="196B24"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color="095E7F" w:themeColor="accent4" w:themeShade="99" w:sz="4" w:space="0"/>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color="4EA72E" w:themeColor="accent6" w:sz="24" w:space="0"/>
        <w:left w:val="single" w:color="A02B93" w:themeColor="accent5" w:sz="4" w:space="0"/>
        <w:bottom w:val="single" w:color="A02B93" w:themeColor="accent5" w:sz="4" w:space="0"/>
        <w:right w:val="single" w:color="A02B93" w:themeColor="accent5" w:sz="4" w:space="0"/>
        <w:insideH w:val="single" w:color="FFFFFF" w:themeColor="background1" w:sz="4" w:space="0"/>
        <w:insideV w:val="single" w:color="FFFFFF" w:themeColor="background1" w:sz="4" w:space="0"/>
      </w:tblBorders>
    </w:tblPr>
    <w:tcPr>
      <w:shd w:val="clear" w:color="auto" w:fill="F8E7F6" w:themeFill="accent5" w:themeFillTint="19"/>
    </w:tcPr>
    <w:tblStylePr w:type="firstRow">
      <w:rPr>
        <w:b/>
        <w:bCs/>
      </w:rPr>
      <w:tblPr/>
      <w:tcPr>
        <w:tcBorders>
          <w:top w:val="nil"/>
          <w:left w:val="nil"/>
          <w:bottom w:val="single" w:color="4EA72E"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color="5F1957" w:themeColor="accent5" w:themeShade="99" w:sz="4" w:space="0"/>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color="A02B93" w:themeColor="accent5" w:sz="24" w:space="0"/>
        <w:left w:val="single" w:color="4EA72E" w:themeColor="accent6" w:sz="4" w:space="0"/>
        <w:bottom w:val="single" w:color="4EA72E" w:themeColor="accent6" w:sz="4" w:space="0"/>
        <w:right w:val="single" w:color="4EA72E" w:themeColor="accent6" w:sz="4" w:space="0"/>
        <w:insideH w:val="single" w:color="FFFFFF" w:themeColor="background1" w:sz="4" w:space="0"/>
        <w:insideV w:val="single" w:color="FFFFFF" w:themeColor="background1" w:sz="4" w:space="0"/>
      </w:tblBorders>
    </w:tblPr>
    <w:tcPr>
      <w:shd w:val="clear" w:color="auto" w:fill="ECF8E8" w:themeFill="accent6" w:themeFillTint="19"/>
    </w:tcPr>
    <w:tblStylePr w:type="firstRow">
      <w:rPr>
        <w:b/>
        <w:bCs/>
      </w:rPr>
      <w:tblPr/>
      <w:tcPr>
        <w:tcBorders>
          <w:top w:val="nil"/>
          <w:left w:val="nil"/>
          <w:bottom w:val="single" w:color="A02B93"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color="2E641B" w:themeColor="accent6" w:themeShade="99" w:sz="4" w:space="0"/>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0F476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BF4E1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124F1A"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0B769F"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77206D"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3A7C22"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color="F6C5AC" w:themeColor="accent2" w:themeTint="66" w:sz="4" w:space="0"/>
        <w:left w:val="single" w:color="F6C5AC" w:themeColor="accent2" w:themeTint="66" w:sz="4" w:space="0"/>
        <w:bottom w:val="single" w:color="F6C5AC" w:themeColor="accent2" w:themeTint="66" w:sz="4" w:space="0"/>
        <w:right w:val="single" w:color="F6C5AC" w:themeColor="accent2" w:themeTint="66" w:sz="4" w:space="0"/>
        <w:insideH w:val="single" w:color="F6C5AC" w:themeColor="accent2" w:themeTint="66" w:sz="4" w:space="0"/>
        <w:insideV w:val="single" w:color="F6C5AC" w:themeColor="accent2" w:themeTint="66" w:sz="4" w:space="0"/>
      </w:tblBorders>
    </w:tblPr>
    <w:tblStylePr w:type="firstRow">
      <w:rPr>
        <w:b/>
        <w:bCs/>
      </w:rPr>
      <w:tblPr/>
      <w:tcPr>
        <w:tcBorders>
          <w:bottom w:val="single" w:color="F1A983" w:themeColor="accent2" w:themeTint="99" w:sz="12" w:space="0"/>
        </w:tcBorders>
      </w:tcPr>
    </w:tblStylePr>
    <w:tblStylePr w:type="lastRow">
      <w:rPr>
        <w:b/>
        <w:bCs/>
      </w:rPr>
      <w:tblPr/>
      <w:tcPr>
        <w:tcBorders>
          <w:top w:val="double" w:color="F1A983"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color="84E290" w:themeColor="accent3" w:themeTint="66" w:sz="4" w:space="0"/>
        <w:left w:val="single" w:color="84E290" w:themeColor="accent3" w:themeTint="66" w:sz="4" w:space="0"/>
        <w:bottom w:val="single" w:color="84E290" w:themeColor="accent3" w:themeTint="66" w:sz="4" w:space="0"/>
        <w:right w:val="single" w:color="84E290" w:themeColor="accent3" w:themeTint="66" w:sz="4" w:space="0"/>
        <w:insideH w:val="single" w:color="84E290" w:themeColor="accent3" w:themeTint="66" w:sz="4" w:space="0"/>
        <w:insideV w:val="single" w:color="84E290" w:themeColor="accent3" w:themeTint="66" w:sz="4" w:space="0"/>
      </w:tblBorders>
    </w:tblPr>
    <w:tblStylePr w:type="firstRow">
      <w:rPr>
        <w:b/>
        <w:bCs/>
      </w:rPr>
      <w:tblPr/>
      <w:tcPr>
        <w:tcBorders>
          <w:bottom w:val="single" w:color="47D459" w:themeColor="accent3" w:themeTint="99" w:sz="12" w:space="0"/>
        </w:tcBorders>
      </w:tcPr>
    </w:tblStylePr>
    <w:tblStylePr w:type="lastRow">
      <w:rPr>
        <w:b/>
        <w:bCs/>
      </w:rPr>
      <w:tblPr/>
      <w:tcPr>
        <w:tcBorders>
          <w:top w:val="double" w:color="47D459"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color="95DCF7" w:themeColor="accent4" w:themeTint="66" w:sz="4" w:space="0"/>
        <w:left w:val="single" w:color="95DCF7" w:themeColor="accent4" w:themeTint="66" w:sz="4" w:space="0"/>
        <w:bottom w:val="single" w:color="95DCF7" w:themeColor="accent4" w:themeTint="66" w:sz="4" w:space="0"/>
        <w:right w:val="single" w:color="95DCF7" w:themeColor="accent4" w:themeTint="66" w:sz="4" w:space="0"/>
        <w:insideH w:val="single" w:color="95DCF7" w:themeColor="accent4" w:themeTint="66" w:sz="4" w:space="0"/>
        <w:insideV w:val="single" w:color="95DCF7" w:themeColor="accent4" w:themeTint="66" w:sz="4" w:space="0"/>
      </w:tblBorders>
    </w:tblPr>
    <w:tblStylePr w:type="firstRow">
      <w:rPr>
        <w:b/>
        <w:bCs/>
      </w:rPr>
      <w:tblPr/>
      <w:tcPr>
        <w:tcBorders>
          <w:bottom w:val="single" w:color="60CAF3" w:themeColor="accent4" w:themeTint="99" w:sz="12" w:space="0"/>
        </w:tcBorders>
      </w:tcPr>
    </w:tblStylePr>
    <w:tblStylePr w:type="lastRow">
      <w:rPr>
        <w:b/>
        <w:bCs/>
      </w:rPr>
      <w:tblPr/>
      <w:tcPr>
        <w:tcBorders>
          <w:top w:val="double" w:color="60CAF3"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color="E59EDC" w:themeColor="accent5" w:themeTint="66" w:sz="4" w:space="0"/>
        <w:left w:val="single" w:color="E59EDC" w:themeColor="accent5" w:themeTint="66" w:sz="4" w:space="0"/>
        <w:bottom w:val="single" w:color="E59EDC" w:themeColor="accent5" w:themeTint="66" w:sz="4" w:space="0"/>
        <w:right w:val="single" w:color="E59EDC" w:themeColor="accent5" w:themeTint="66" w:sz="4" w:space="0"/>
        <w:insideH w:val="single" w:color="E59EDC" w:themeColor="accent5" w:themeTint="66" w:sz="4" w:space="0"/>
        <w:insideV w:val="single" w:color="E59EDC" w:themeColor="accent5" w:themeTint="66" w:sz="4" w:space="0"/>
      </w:tblBorders>
    </w:tblPr>
    <w:tblStylePr w:type="firstRow">
      <w:rPr>
        <w:b/>
        <w:bCs/>
      </w:rPr>
      <w:tblPr/>
      <w:tcPr>
        <w:tcBorders>
          <w:bottom w:val="single" w:color="D86DCB" w:themeColor="accent5" w:themeTint="99" w:sz="12" w:space="0"/>
        </w:tcBorders>
      </w:tcPr>
    </w:tblStylePr>
    <w:tblStylePr w:type="lastRow">
      <w:rPr>
        <w:b/>
        <w:bCs/>
      </w:rPr>
      <w:tblPr/>
      <w:tcPr>
        <w:tcBorders>
          <w:top w:val="double" w:color="D86DCB"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color="B3E5A1" w:themeColor="accent6" w:themeTint="66" w:sz="4" w:space="0"/>
        <w:left w:val="single" w:color="B3E5A1" w:themeColor="accent6" w:themeTint="66" w:sz="4" w:space="0"/>
        <w:bottom w:val="single" w:color="B3E5A1" w:themeColor="accent6" w:themeTint="66" w:sz="4" w:space="0"/>
        <w:right w:val="single" w:color="B3E5A1" w:themeColor="accent6" w:themeTint="66" w:sz="4" w:space="0"/>
        <w:insideH w:val="single" w:color="B3E5A1" w:themeColor="accent6" w:themeTint="66" w:sz="4" w:space="0"/>
        <w:insideV w:val="single" w:color="B3E5A1" w:themeColor="accent6" w:themeTint="66" w:sz="4" w:space="0"/>
      </w:tblBorders>
    </w:tblPr>
    <w:tblStylePr w:type="firstRow">
      <w:rPr>
        <w:b/>
        <w:bCs/>
      </w:rPr>
      <w:tblPr/>
      <w:tcPr>
        <w:tcBorders>
          <w:bottom w:val="single" w:color="8DD873" w:themeColor="accent6" w:themeTint="99" w:sz="12" w:space="0"/>
        </w:tcBorders>
      </w:tcPr>
    </w:tblStylePr>
    <w:tblStylePr w:type="lastRow">
      <w:rPr>
        <w:b/>
        <w:bCs/>
      </w:rPr>
      <w:tblPr/>
      <w:tcPr>
        <w:tcBorders>
          <w:top w:val="double" w:color="8DD873"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color="45B0E1" w:themeColor="accent1" w:themeTint="99" w:sz="2" w:space="0"/>
        <w:bottom w:val="single" w:color="45B0E1" w:themeColor="accent1" w:themeTint="99" w:sz="2" w:space="0"/>
        <w:insideH w:val="single" w:color="45B0E1" w:themeColor="accent1" w:themeTint="99" w:sz="2" w:space="0"/>
        <w:insideV w:val="single" w:color="45B0E1" w:themeColor="accent1" w:themeTint="99" w:sz="2" w:space="0"/>
      </w:tblBorders>
    </w:tblPr>
    <w:tblStylePr w:type="firstRow">
      <w:rPr>
        <w:b/>
        <w:bCs/>
      </w:rPr>
      <w:tblPr/>
      <w:tcPr>
        <w:tcBorders>
          <w:top w:val="nil"/>
          <w:bottom w:val="single" w:color="45B0E1" w:themeColor="accent1" w:themeTint="99" w:sz="12" w:space="0"/>
          <w:insideH w:val="nil"/>
          <w:insideV w:val="nil"/>
        </w:tcBorders>
        <w:shd w:val="clear" w:color="auto" w:fill="FFFFFF" w:themeFill="background1"/>
      </w:tcPr>
    </w:tblStylePr>
    <w:tblStylePr w:type="lastRow">
      <w:rPr>
        <w:b/>
        <w:bCs/>
      </w:rPr>
      <w:tblPr/>
      <w:tcPr>
        <w:tcBorders>
          <w:top w:val="double" w:color="45B0E1"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color="F1A983" w:themeColor="accent2" w:themeTint="99" w:sz="2" w:space="0"/>
        <w:bottom w:val="single" w:color="F1A983" w:themeColor="accent2" w:themeTint="99" w:sz="2" w:space="0"/>
        <w:insideH w:val="single" w:color="F1A983" w:themeColor="accent2" w:themeTint="99" w:sz="2" w:space="0"/>
        <w:insideV w:val="single" w:color="F1A983" w:themeColor="accent2" w:themeTint="99" w:sz="2" w:space="0"/>
      </w:tblBorders>
    </w:tblPr>
    <w:tblStylePr w:type="firstRow">
      <w:rPr>
        <w:b/>
        <w:bCs/>
      </w:rPr>
      <w:tblPr/>
      <w:tcPr>
        <w:tcBorders>
          <w:top w:val="nil"/>
          <w:bottom w:val="single" w:color="F1A983" w:themeColor="accent2" w:themeTint="99" w:sz="12" w:space="0"/>
          <w:insideH w:val="nil"/>
          <w:insideV w:val="nil"/>
        </w:tcBorders>
        <w:shd w:val="clear" w:color="auto" w:fill="FFFFFF" w:themeFill="background1"/>
      </w:tcPr>
    </w:tblStylePr>
    <w:tblStylePr w:type="lastRow">
      <w:rPr>
        <w:b/>
        <w:bCs/>
      </w:rPr>
      <w:tblPr/>
      <w:tcPr>
        <w:tcBorders>
          <w:top w:val="double" w:color="F1A9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color="47D459" w:themeColor="accent3" w:themeTint="99" w:sz="2" w:space="0"/>
        <w:bottom w:val="single" w:color="47D459" w:themeColor="accent3" w:themeTint="99" w:sz="2" w:space="0"/>
        <w:insideH w:val="single" w:color="47D459" w:themeColor="accent3" w:themeTint="99" w:sz="2" w:space="0"/>
        <w:insideV w:val="single" w:color="47D459" w:themeColor="accent3" w:themeTint="99" w:sz="2" w:space="0"/>
      </w:tblBorders>
    </w:tblPr>
    <w:tblStylePr w:type="firstRow">
      <w:rPr>
        <w:b/>
        <w:bCs/>
      </w:rPr>
      <w:tblPr/>
      <w:tcPr>
        <w:tcBorders>
          <w:top w:val="nil"/>
          <w:bottom w:val="single" w:color="47D459" w:themeColor="accent3" w:themeTint="99" w:sz="12" w:space="0"/>
          <w:insideH w:val="nil"/>
          <w:insideV w:val="nil"/>
        </w:tcBorders>
        <w:shd w:val="clear" w:color="auto" w:fill="FFFFFF" w:themeFill="background1"/>
      </w:tcPr>
    </w:tblStylePr>
    <w:tblStylePr w:type="lastRow">
      <w:rPr>
        <w:b/>
        <w:bCs/>
      </w:rPr>
      <w:tblPr/>
      <w:tcPr>
        <w:tcBorders>
          <w:top w:val="double" w:color="47D45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color="60CAF3" w:themeColor="accent4" w:themeTint="99" w:sz="2" w:space="0"/>
        <w:bottom w:val="single" w:color="60CAF3" w:themeColor="accent4" w:themeTint="99" w:sz="2" w:space="0"/>
        <w:insideH w:val="single" w:color="60CAF3" w:themeColor="accent4" w:themeTint="99" w:sz="2" w:space="0"/>
        <w:insideV w:val="single" w:color="60CAF3" w:themeColor="accent4" w:themeTint="99" w:sz="2" w:space="0"/>
      </w:tblBorders>
    </w:tblPr>
    <w:tblStylePr w:type="firstRow">
      <w:rPr>
        <w:b/>
        <w:bCs/>
      </w:rPr>
      <w:tblPr/>
      <w:tcPr>
        <w:tcBorders>
          <w:top w:val="nil"/>
          <w:bottom w:val="single" w:color="60CAF3" w:themeColor="accent4" w:themeTint="99" w:sz="12" w:space="0"/>
          <w:insideH w:val="nil"/>
          <w:insideV w:val="nil"/>
        </w:tcBorders>
        <w:shd w:val="clear" w:color="auto" w:fill="FFFFFF" w:themeFill="background1"/>
      </w:tcPr>
    </w:tblStylePr>
    <w:tblStylePr w:type="lastRow">
      <w:rPr>
        <w:b/>
        <w:bCs/>
      </w:rPr>
      <w:tblPr/>
      <w:tcPr>
        <w:tcBorders>
          <w:top w:val="double" w:color="60CAF3"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color="D86DCB" w:themeColor="accent5" w:themeTint="99" w:sz="2" w:space="0"/>
        <w:bottom w:val="single" w:color="D86DCB" w:themeColor="accent5" w:themeTint="99" w:sz="2" w:space="0"/>
        <w:insideH w:val="single" w:color="D86DCB" w:themeColor="accent5" w:themeTint="99" w:sz="2" w:space="0"/>
        <w:insideV w:val="single" w:color="D86DCB" w:themeColor="accent5" w:themeTint="99" w:sz="2" w:space="0"/>
      </w:tblBorders>
    </w:tblPr>
    <w:tblStylePr w:type="firstRow">
      <w:rPr>
        <w:b/>
        <w:bCs/>
      </w:rPr>
      <w:tblPr/>
      <w:tcPr>
        <w:tcBorders>
          <w:top w:val="nil"/>
          <w:bottom w:val="single" w:color="D86DCB" w:themeColor="accent5" w:themeTint="99" w:sz="12" w:space="0"/>
          <w:insideH w:val="nil"/>
          <w:insideV w:val="nil"/>
        </w:tcBorders>
        <w:shd w:val="clear" w:color="auto" w:fill="FFFFFF" w:themeFill="background1"/>
      </w:tcPr>
    </w:tblStylePr>
    <w:tblStylePr w:type="lastRow">
      <w:rPr>
        <w:b/>
        <w:bCs/>
      </w:rPr>
      <w:tblPr/>
      <w:tcPr>
        <w:tcBorders>
          <w:top w:val="double" w:color="D86DCB"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color="8DD873" w:themeColor="accent6" w:themeTint="99" w:sz="2" w:space="0"/>
        <w:bottom w:val="single" w:color="8DD873" w:themeColor="accent6" w:themeTint="99" w:sz="2" w:space="0"/>
        <w:insideH w:val="single" w:color="8DD873" w:themeColor="accent6" w:themeTint="99" w:sz="2" w:space="0"/>
        <w:insideV w:val="single" w:color="8DD873" w:themeColor="accent6" w:themeTint="99" w:sz="2" w:space="0"/>
      </w:tblBorders>
    </w:tblPr>
    <w:tblStylePr w:type="firstRow">
      <w:rPr>
        <w:b/>
        <w:bCs/>
      </w:rPr>
      <w:tblPr/>
      <w:tcPr>
        <w:tcBorders>
          <w:top w:val="nil"/>
          <w:bottom w:val="single" w:color="8DD873" w:themeColor="accent6" w:themeTint="99" w:sz="12" w:space="0"/>
          <w:insideH w:val="nil"/>
          <w:insideV w:val="nil"/>
        </w:tcBorders>
        <w:shd w:val="clear" w:color="auto" w:fill="FFFFFF" w:themeFill="background1"/>
      </w:tcPr>
    </w:tblStylePr>
    <w:tblStylePr w:type="lastRow">
      <w:rPr>
        <w:b/>
        <w:bCs/>
      </w:rPr>
      <w:tblPr/>
      <w:tcPr>
        <w:tcBorders>
          <w:top w:val="double" w:color="8DD873"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color="45B0E1" w:themeColor="accent1" w:themeTint="99" w:sz="4" w:space="0"/>
        </w:tcBorders>
      </w:tcPr>
    </w:tblStylePr>
    <w:tblStylePr w:type="nwCell">
      <w:tblPr/>
      <w:tcPr>
        <w:tcBorders>
          <w:bottom w:val="single" w:color="45B0E1" w:themeColor="accent1" w:themeTint="99" w:sz="4" w:space="0"/>
        </w:tcBorders>
      </w:tcPr>
    </w:tblStylePr>
    <w:tblStylePr w:type="seCell">
      <w:tblPr/>
      <w:tcPr>
        <w:tcBorders>
          <w:top w:val="single" w:color="45B0E1" w:themeColor="accent1" w:themeTint="99" w:sz="4" w:space="0"/>
        </w:tcBorders>
      </w:tcPr>
    </w:tblStylePr>
    <w:tblStylePr w:type="swCell">
      <w:tblPr/>
      <w:tcPr>
        <w:tcBorders>
          <w:top w:val="single" w:color="45B0E1" w:themeColor="accent1" w:themeTint="99" w:sz="4" w:space="0"/>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color="F1A983" w:themeColor="accent2" w:themeTint="99" w:sz="4" w:space="0"/>
        </w:tcBorders>
      </w:tcPr>
    </w:tblStylePr>
    <w:tblStylePr w:type="nwCell">
      <w:tblPr/>
      <w:tcPr>
        <w:tcBorders>
          <w:bottom w:val="single" w:color="F1A983" w:themeColor="accent2" w:themeTint="99" w:sz="4" w:space="0"/>
        </w:tcBorders>
      </w:tcPr>
    </w:tblStylePr>
    <w:tblStylePr w:type="seCell">
      <w:tblPr/>
      <w:tcPr>
        <w:tcBorders>
          <w:top w:val="single" w:color="F1A983" w:themeColor="accent2" w:themeTint="99" w:sz="4" w:space="0"/>
        </w:tcBorders>
      </w:tcPr>
    </w:tblStylePr>
    <w:tblStylePr w:type="swCell">
      <w:tblPr/>
      <w:tcPr>
        <w:tcBorders>
          <w:top w:val="single" w:color="F1A983" w:themeColor="accent2" w:themeTint="99" w:sz="4" w:space="0"/>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color="47D459" w:themeColor="accent3" w:themeTint="99" w:sz="4" w:space="0"/>
        </w:tcBorders>
      </w:tcPr>
    </w:tblStylePr>
    <w:tblStylePr w:type="nwCell">
      <w:tblPr/>
      <w:tcPr>
        <w:tcBorders>
          <w:bottom w:val="single" w:color="47D459" w:themeColor="accent3" w:themeTint="99" w:sz="4" w:space="0"/>
        </w:tcBorders>
      </w:tcPr>
    </w:tblStylePr>
    <w:tblStylePr w:type="seCell">
      <w:tblPr/>
      <w:tcPr>
        <w:tcBorders>
          <w:top w:val="single" w:color="47D459" w:themeColor="accent3" w:themeTint="99" w:sz="4" w:space="0"/>
        </w:tcBorders>
      </w:tcPr>
    </w:tblStylePr>
    <w:tblStylePr w:type="swCell">
      <w:tblPr/>
      <w:tcPr>
        <w:tcBorders>
          <w:top w:val="single" w:color="47D459" w:themeColor="accent3" w:themeTint="99" w:sz="4" w:space="0"/>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color="60CAF3" w:themeColor="accent4" w:themeTint="99" w:sz="4" w:space="0"/>
        </w:tcBorders>
      </w:tcPr>
    </w:tblStylePr>
    <w:tblStylePr w:type="nwCell">
      <w:tblPr/>
      <w:tcPr>
        <w:tcBorders>
          <w:bottom w:val="single" w:color="60CAF3" w:themeColor="accent4" w:themeTint="99" w:sz="4" w:space="0"/>
        </w:tcBorders>
      </w:tcPr>
    </w:tblStylePr>
    <w:tblStylePr w:type="seCell">
      <w:tblPr/>
      <w:tcPr>
        <w:tcBorders>
          <w:top w:val="single" w:color="60CAF3" w:themeColor="accent4" w:themeTint="99" w:sz="4" w:space="0"/>
        </w:tcBorders>
      </w:tcPr>
    </w:tblStylePr>
    <w:tblStylePr w:type="swCell">
      <w:tblPr/>
      <w:tcPr>
        <w:tcBorders>
          <w:top w:val="single" w:color="60CAF3" w:themeColor="accent4" w:themeTint="99" w:sz="4" w:space="0"/>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color="D86DCB" w:themeColor="accent5" w:themeTint="99" w:sz="4" w:space="0"/>
        </w:tcBorders>
      </w:tcPr>
    </w:tblStylePr>
    <w:tblStylePr w:type="nwCell">
      <w:tblPr/>
      <w:tcPr>
        <w:tcBorders>
          <w:bottom w:val="single" w:color="D86DCB" w:themeColor="accent5" w:themeTint="99" w:sz="4" w:space="0"/>
        </w:tcBorders>
      </w:tcPr>
    </w:tblStylePr>
    <w:tblStylePr w:type="seCell">
      <w:tblPr/>
      <w:tcPr>
        <w:tcBorders>
          <w:top w:val="single" w:color="D86DCB" w:themeColor="accent5" w:themeTint="99" w:sz="4" w:space="0"/>
        </w:tcBorders>
      </w:tcPr>
    </w:tblStylePr>
    <w:tblStylePr w:type="swCell">
      <w:tblPr/>
      <w:tcPr>
        <w:tcBorders>
          <w:top w:val="single" w:color="D86DCB" w:themeColor="accent5" w:themeTint="99" w:sz="4" w:space="0"/>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color="8DD873" w:themeColor="accent6" w:themeTint="99" w:sz="4" w:space="0"/>
        </w:tcBorders>
      </w:tcPr>
    </w:tblStylePr>
    <w:tblStylePr w:type="nwCell">
      <w:tblPr/>
      <w:tcPr>
        <w:tcBorders>
          <w:bottom w:val="single" w:color="8DD873" w:themeColor="accent6" w:themeTint="99" w:sz="4" w:space="0"/>
        </w:tcBorders>
      </w:tcPr>
    </w:tblStylePr>
    <w:tblStylePr w:type="seCell">
      <w:tblPr/>
      <w:tcPr>
        <w:tcBorders>
          <w:top w:val="single" w:color="8DD873" w:themeColor="accent6" w:themeTint="99" w:sz="4" w:space="0"/>
        </w:tcBorders>
      </w:tcPr>
    </w:tblStylePr>
    <w:tblStylePr w:type="swCell">
      <w:tblPr/>
      <w:tcPr>
        <w:tcBorders>
          <w:top w:val="single" w:color="8DD873" w:themeColor="accent6" w:themeTint="99" w:sz="4" w:space="0"/>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color w:val="FFFFFF" w:themeColor="background1"/>
      </w:rPr>
      <w:tblPr/>
      <w:tcPr>
        <w:tcBorders>
          <w:top w:val="single" w:color="E97132" w:themeColor="accent2" w:sz="4" w:space="0"/>
          <w:left w:val="single" w:color="E97132" w:themeColor="accent2" w:sz="4" w:space="0"/>
          <w:bottom w:val="single" w:color="E97132" w:themeColor="accent2" w:sz="4" w:space="0"/>
          <w:right w:val="single" w:color="E97132" w:themeColor="accent2" w:sz="4" w:space="0"/>
          <w:insideH w:val="nil"/>
          <w:insideV w:val="nil"/>
        </w:tcBorders>
        <w:shd w:val="clear" w:color="auto" w:fill="E97132" w:themeFill="accent2"/>
      </w:tcPr>
    </w:tblStylePr>
    <w:tblStylePr w:type="lastRow">
      <w:rPr>
        <w:b/>
        <w:bCs/>
      </w:rPr>
      <w:tblPr/>
      <w:tcPr>
        <w:tcBorders>
          <w:top w:val="double" w:color="E97132" w:themeColor="accent2"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color w:val="FFFFFF" w:themeColor="background1"/>
      </w:rPr>
      <w:tblPr/>
      <w:tcPr>
        <w:tcBorders>
          <w:top w:val="single" w:color="196B24" w:themeColor="accent3" w:sz="4" w:space="0"/>
          <w:left w:val="single" w:color="196B24" w:themeColor="accent3" w:sz="4" w:space="0"/>
          <w:bottom w:val="single" w:color="196B24" w:themeColor="accent3" w:sz="4" w:space="0"/>
          <w:right w:val="single" w:color="196B24" w:themeColor="accent3" w:sz="4" w:space="0"/>
          <w:insideH w:val="nil"/>
          <w:insideV w:val="nil"/>
        </w:tcBorders>
        <w:shd w:val="clear" w:color="auto" w:fill="196B24" w:themeFill="accent3"/>
      </w:tcPr>
    </w:tblStylePr>
    <w:tblStylePr w:type="lastRow">
      <w:rPr>
        <w:b/>
        <w:bCs/>
      </w:rPr>
      <w:tblPr/>
      <w:tcPr>
        <w:tcBorders>
          <w:top w:val="double" w:color="196B24" w:themeColor="accent3"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insideV w:val="nil"/>
        </w:tcBorders>
        <w:shd w:val="clear" w:color="auto" w:fill="0F9ED5" w:themeFill="accent4"/>
      </w:tcPr>
    </w:tblStylePr>
    <w:tblStylePr w:type="lastRow">
      <w:rPr>
        <w:b/>
        <w:bCs/>
      </w:rPr>
      <w:tblPr/>
      <w:tcPr>
        <w:tcBorders>
          <w:top w:val="double" w:color="0F9ED5" w:themeColor="accent4"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color w:val="FFFFFF" w:themeColor="background1"/>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insideV w:val="nil"/>
        </w:tcBorders>
        <w:shd w:val="clear" w:color="auto" w:fill="A02B93" w:themeFill="accent5"/>
      </w:tcPr>
    </w:tblStylePr>
    <w:tblStylePr w:type="lastRow">
      <w:rPr>
        <w:b/>
        <w:bCs/>
      </w:rPr>
      <w:tblPr/>
      <w:tcPr>
        <w:tcBorders>
          <w:top w:val="double" w:color="A02B93" w:themeColor="accent5"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color w:val="FFFFFF" w:themeColor="background1"/>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insideH w:val="nil"/>
          <w:insideV w:val="nil"/>
        </w:tcBorders>
        <w:shd w:val="clear" w:color="auto" w:fill="4EA72E" w:themeFill="accent6"/>
      </w:tcPr>
    </w:tblStylePr>
    <w:tblStylePr w:type="lastRow">
      <w:rPr>
        <w:b/>
        <w:bCs/>
      </w:rPr>
      <w:tblPr/>
      <w:tcPr>
        <w:tcBorders>
          <w:top w:val="double" w:color="4EA72E" w:themeColor="accent6"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4F5"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56082"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56082"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56082"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AE2D5"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97132"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97132"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97132"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F0C7"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96B24"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96B24"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96B24"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AEDFB"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F9ED5"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F9ED5"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F9ED5"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2CEED"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02B93"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02B93"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02B93"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F2D0"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EA72E"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EA72E"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EA72E"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bottom w:val="single" w:color="F1A983" w:themeColor="accent2" w:themeTint="99" w:sz="12" w:space="0"/>
        </w:tcBorders>
      </w:tcPr>
    </w:tblStylePr>
    <w:tblStylePr w:type="lastRow">
      <w:rPr>
        <w:b/>
        <w:bCs/>
      </w:rPr>
      <w:tblPr/>
      <w:tcPr>
        <w:tcBorders>
          <w:top w:val="doub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bottom w:val="single" w:color="47D459" w:themeColor="accent3" w:themeTint="99" w:sz="12" w:space="0"/>
        </w:tcBorders>
      </w:tcPr>
    </w:tblStylePr>
    <w:tblStylePr w:type="lastRow">
      <w:rPr>
        <w:b/>
        <w:bCs/>
      </w:rPr>
      <w:tblPr/>
      <w:tcPr>
        <w:tcBorders>
          <w:top w:val="doub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bottom w:val="single" w:color="60CAF3" w:themeColor="accent4" w:themeTint="99" w:sz="12" w:space="0"/>
        </w:tcBorders>
      </w:tcPr>
    </w:tblStylePr>
    <w:tblStylePr w:type="lastRow">
      <w:rPr>
        <w:b/>
        <w:bCs/>
      </w:rPr>
      <w:tblPr/>
      <w:tcPr>
        <w:tcBorders>
          <w:top w:val="doub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bottom w:val="single" w:color="D86DCB" w:themeColor="accent5" w:themeTint="99" w:sz="12" w:space="0"/>
        </w:tcBorders>
      </w:tcPr>
    </w:tblStylePr>
    <w:tblStylePr w:type="lastRow">
      <w:rPr>
        <w:b/>
        <w:bCs/>
      </w:rPr>
      <w:tblPr/>
      <w:tcPr>
        <w:tcBorders>
          <w:top w:val="doub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bottom w:val="single" w:color="8DD873" w:themeColor="accent6" w:themeTint="99" w:sz="12" w:space="0"/>
        </w:tcBorders>
      </w:tcPr>
    </w:tblStylePr>
    <w:tblStylePr w:type="lastRow">
      <w:rPr>
        <w:b/>
        <w:bCs/>
      </w:rPr>
      <w:tblPr/>
      <w:tcPr>
        <w:tcBorders>
          <w:top w:val="doub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color="45B0E1" w:themeColor="accent1" w:themeTint="99" w:sz="4" w:space="0"/>
        </w:tcBorders>
      </w:tcPr>
    </w:tblStylePr>
    <w:tblStylePr w:type="nwCell">
      <w:tblPr/>
      <w:tcPr>
        <w:tcBorders>
          <w:bottom w:val="single" w:color="45B0E1" w:themeColor="accent1" w:themeTint="99" w:sz="4" w:space="0"/>
        </w:tcBorders>
      </w:tcPr>
    </w:tblStylePr>
    <w:tblStylePr w:type="seCell">
      <w:tblPr/>
      <w:tcPr>
        <w:tcBorders>
          <w:top w:val="single" w:color="45B0E1" w:themeColor="accent1" w:themeTint="99" w:sz="4" w:space="0"/>
        </w:tcBorders>
      </w:tcPr>
    </w:tblStylePr>
    <w:tblStylePr w:type="swCell">
      <w:tblPr/>
      <w:tcPr>
        <w:tcBorders>
          <w:top w:val="single" w:color="45B0E1" w:themeColor="accent1" w:themeTint="99" w:sz="4" w:space="0"/>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color="F1A983" w:themeColor="accent2" w:themeTint="99" w:sz="4" w:space="0"/>
        </w:tcBorders>
      </w:tcPr>
    </w:tblStylePr>
    <w:tblStylePr w:type="nwCell">
      <w:tblPr/>
      <w:tcPr>
        <w:tcBorders>
          <w:bottom w:val="single" w:color="F1A983" w:themeColor="accent2" w:themeTint="99" w:sz="4" w:space="0"/>
        </w:tcBorders>
      </w:tcPr>
    </w:tblStylePr>
    <w:tblStylePr w:type="seCell">
      <w:tblPr/>
      <w:tcPr>
        <w:tcBorders>
          <w:top w:val="single" w:color="F1A983" w:themeColor="accent2" w:themeTint="99" w:sz="4" w:space="0"/>
        </w:tcBorders>
      </w:tcPr>
    </w:tblStylePr>
    <w:tblStylePr w:type="swCell">
      <w:tblPr/>
      <w:tcPr>
        <w:tcBorders>
          <w:top w:val="single" w:color="F1A983" w:themeColor="accent2" w:themeTint="99" w:sz="4" w:space="0"/>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color="47D459" w:themeColor="accent3" w:themeTint="99" w:sz="4" w:space="0"/>
        </w:tcBorders>
      </w:tcPr>
    </w:tblStylePr>
    <w:tblStylePr w:type="nwCell">
      <w:tblPr/>
      <w:tcPr>
        <w:tcBorders>
          <w:bottom w:val="single" w:color="47D459" w:themeColor="accent3" w:themeTint="99" w:sz="4" w:space="0"/>
        </w:tcBorders>
      </w:tcPr>
    </w:tblStylePr>
    <w:tblStylePr w:type="seCell">
      <w:tblPr/>
      <w:tcPr>
        <w:tcBorders>
          <w:top w:val="single" w:color="47D459" w:themeColor="accent3" w:themeTint="99" w:sz="4" w:space="0"/>
        </w:tcBorders>
      </w:tcPr>
    </w:tblStylePr>
    <w:tblStylePr w:type="swCell">
      <w:tblPr/>
      <w:tcPr>
        <w:tcBorders>
          <w:top w:val="single" w:color="47D459" w:themeColor="accent3" w:themeTint="99" w:sz="4" w:space="0"/>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color="60CAF3" w:themeColor="accent4" w:themeTint="99" w:sz="4" w:space="0"/>
        </w:tcBorders>
      </w:tcPr>
    </w:tblStylePr>
    <w:tblStylePr w:type="nwCell">
      <w:tblPr/>
      <w:tcPr>
        <w:tcBorders>
          <w:bottom w:val="single" w:color="60CAF3" w:themeColor="accent4" w:themeTint="99" w:sz="4" w:space="0"/>
        </w:tcBorders>
      </w:tcPr>
    </w:tblStylePr>
    <w:tblStylePr w:type="seCell">
      <w:tblPr/>
      <w:tcPr>
        <w:tcBorders>
          <w:top w:val="single" w:color="60CAF3" w:themeColor="accent4" w:themeTint="99" w:sz="4" w:space="0"/>
        </w:tcBorders>
      </w:tcPr>
    </w:tblStylePr>
    <w:tblStylePr w:type="swCell">
      <w:tblPr/>
      <w:tcPr>
        <w:tcBorders>
          <w:top w:val="single" w:color="60CAF3" w:themeColor="accent4" w:themeTint="99" w:sz="4" w:space="0"/>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color="D86DCB" w:themeColor="accent5" w:themeTint="99" w:sz="4" w:space="0"/>
        </w:tcBorders>
      </w:tcPr>
    </w:tblStylePr>
    <w:tblStylePr w:type="nwCell">
      <w:tblPr/>
      <w:tcPr>
        <w:tcBorders>
          <w:bottom w:val="single" w:color="D86DCB" w:themeColor="accent5" w:themeTint="99" w:sz="4" w:space="0"/>
        </w:tcBorders>
      </w:tcPr>
    </w:tblStylePr>
    <w:tblStylePr w:type="seCell">
      <w:tblPr/>
      <w:tcPr>
        <w:tcBorders>
          <w:top w:val="single" w:color="D86DCB" w:themeColor="accent5" w:themeTint="99" w:sz="4" w:space="0"/>
        </w:tcBorders>
      </w:tcPr>
    </w:tblStylePr>
    <w:tblStylePr w:type="swCell">
      <w:tblPr/>
      <w:tcPr>
        <w:tcBorders>
          <w:top w:val="single" w:color="D86DCB" w:themeColor="accent5" w:themeTint="99" w:sz="4" w:space="0"/>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color="8DD873" w:themeColor="accent6" w:themeTint="99" w:sz="4" w:space="0"/>
        </w:tcBorders>
      </w:tcPr>
    </w:tblStylePr>
    <w:tblStylePr w:type="nwCell">
      <w:tblPr/>
      <w:tcPr>
        <w:tcBorders>
          <w:bottom w:val="single" w:color="8DD873" w:themeColor="accent6" w:themeTint="99" w:sz="4" w:space="0"/>
        </w:tcBorders>
      </w:tcPr>
    </w:tblStylePr>
    <w:tblStylePr w:type="seCell">
      <w:tblPr/>
      <w:tcPr>
        <w:tcBorders>
          <w:top w:val="single" w:color="8DD873" w:themeColor="accent6" w:themeTint="99" w:sz="4" w:space="0"/>
        </w:tcBorders>
      </w:tcPr>
    </w:tblStylePr>
    <w:tblStylePr w:type="swCell">
      <w:tblPr/>
      <w:tcPr>
        <w:tcBorders>
          <w:top w:val="single" w:color="8DD873" w:themeColor="accent6" w:themeTint="99" w:sz="4" w:space="0"/>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insideH w:val="single" w:color="156082" w:themeColor="accent1" w:sz="8" w:space="0"/>
        <w:insideV w:val="single" w:color="156082"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156082" w:themeColor="accent1" w:sz="8" w:space="0"/>
          <w:left w:val="single" w:color="156082" w:themeColor="accent1" w:sz="8" w:space="0"/>
          <w:bottom w:val="single" w:color="156082" w:themeColor="accent1" w:sz="18" w:space="0"/>
          <w:right w:val="single" w:color="156082" w:themeColor="accent1" w:sz="8" w:space="0"/>
          <w:insideH w:val="nil"/>
          <w:insideV w:val="single" w:color="156082"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156082" w:themeColor="accent1" w:sz="6" w:space="0"/>
          <w:left w:val="single" w:color="156082" w:themeColor="accent1" w:sz="8" w:space="0"/>
          <w:bottom w:val="single" w:color="156082" w:themeColor="accent1" w:sz="8" w:space="0"/>
          <w:right w:val="single" w:color="156082" w:themeColor="accent1" w:sz="8" w:space="0"/>
          <w:insideH w:val="nil"/>
          <w:insideV w:val="single" w:color="156082"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tcPr>
    </w:tblStylePr>
    <w:tblStylePr w:type="band1Vert">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shd w:val="clear" w:color="auto" w:fill="B2DEF2" w:themeFill="accent1" w:themeFillTint="3F"/>
      </w:tcPr>
    </w:tblStylePr>
    <w:tblStylePr w:type="band1Horz">
      <w:tblPr/>
      <w:tcPr>
        <w:tcBorders>
          <w:top w:val="single" w:color="156082" w:themeColor="accent1" w:sz="8" w:space="0"/>
          <w:left w:val="single" w:color="156082" w:themeColor="accent1" w:sz="8" w:space="0"/>
          <w:bottom w:val="single" w:color="156082" w:themeColor="accent1" w:sz="8" w:space="0"/>
          <w:right w:val="single" w:color="156082" w:themeColor="accent1" w:sz="8" w:space="0"/>
          <w:insideV w:val="single" w:color="156082" w:themeColor="accent1" w:sz="8" w:space="0"/>
        </w:tcBorders>
        <w:shd w:val="clear" w:color="auto" w:fill="B2DEF2" w:themeFill="accent1" w:themeFillTint="3F"/>
      </w:tcPr>
    </w:tblStylePr>
    <w:tblStylePr w:type="band2Horz">
      <w:tblPr/>
      <w:tcPr>
        <w:tcBorders>
          <w:top w:val="single" w:color="156082" w:themeColor="accent1" w:sz="8" w:space="0"/>
          <w:left w:val="single" w:color="156082" w:themeColor="accent1" w:sz="8" w:space="0"/>
          <w:bottom w:val="single" w:color="156082" w:themeColor="accent1" w:sz="8" w:space="0"/>
          <w:right w:val="single" w:color="156082" w:themeColor="accent1" w:sz="8" w:space="0"/>
          <w:insideV w:val="single" w:color="156082" w:themeColor="accent1" w:sz="8" w:space="0"/>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insideH w:val="single" w:color="E97132" w:themeColor="accent2" w:sz="8" w:space="0"/>
        <w:insideV w:val="single" w:color="E97132"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97132" w:themeColor="accent2" w:sz="8" w:space="0"/>
          <w:left w:val="single" w:color="E97132" w:themeColor="accent2" w:sz="8" w:space="0"/>
          <w:bottom w:val="single" w:color="E97132" w:themeColor="accent2" w:sz="18" w:space="0"/>
          <w:right w:val="single" w:color="E97132" w:themeColor="accent2" w:sz="8" w:space="0"/>
          <w:insideH w:val="nil"/>
          <w:insideV w:val="single" w:color="E97132"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97132" w:themeColor="accent2" w:sz="6" w:space="0"/>
          <w:left w:val="single" w:color="E97132" w:themeColor="accent2" w:sz="8" w:space="0"/>
          <w:bottom w:val="single" w:color="E97132" w:themeColor="accent2" w:sz="8" w:space="0"/>
          <w:right w:val="single" w:color="E97132" w:themeColor="accent2" w:sz="8" w:space="0"/>
          <w:insideH w:val="nil"/>
          <w:insideV w:val="single" w:color="E97132"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tcPr>
    </w:tblStylePr>
    <w:tblStylePr w:type="band1Vert">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shd w:val="clear" w:color="auto" w:fill="F9DBCC" w:themeFill="accent2" w:themeFillTint="3F"/>
      </w:tcPr>
    </w:tblStylePr>
    <w:tblStylePr w:type="band1Horz">
      <w:tblPr/>
      <w:tcPr>
        <w:tcBorders>
          <w:top w:val="single" w:color="E97132" w:themeColor="accent2" w:sz="8" w:space="0"/>
          <w:left w:val="single" w:color="E97132" w:themeColor="accent2" w:sz="8" w:space="0"/>
          <w:bottom w:val="single" w:color="E97132" w:themeColor="accent2" w:sz="8" w:space="0"/>
          <w:right w:val="single" w:color="E97132" w:themeColor="accent2" w:sz="8" w:space="0"/>
          <w:insideV w:val="single" w:color="E97132" w:themeColor="accent2" w:sz="8" w:space="0"/>
        </w:tcBorders>
        <w:shd w:val="clear" w:color="auto" w:fill="F9DBCC" w:themeFill="accent2" w:themeFillTint="3F"/>
      </w:tcPr>
    </w:tblStylePr>
    <w:tblStylePr w:type="band2Horz">
      <w:tblPr/>
      <w:tcPr>
        <w:tcBorders>
          <w:top w:val="single" w:color="E97132" w:themeColor="accent2" w:sz="8" w:space="0"/>
          <w:left w:val="single" w:color="E97132" w:themeColor="accent2" w:sz="8" w:space="0"/>
          <w:bottom w:val="single" w:color="E97132" w:themeColor="accent2" w:sz="8" w:space="0"/>
          <w:right w:val="single" w:color="E97132" w:themeColor="accent2" w:sz="8" w:space="0"/>
          <w:insideV w:val="single" w:color="E97132" w:themeColor="accent2" w:sz="8" w:space="0"/>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insideH w:val="single" w:color="196B24" w:themeColor="accent3" w:sz="8" w:space="0"/>
        <w:insideV w:val="single" w:color="196B24"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196B24" w:themeColor="accent3" w:sz="8" w:space="0"/>
          <w:left w:val="single" w:color="196B24" w:themeColor="accent3" w:sz="8" w:space="0"/>
          <w:bottom w:val="single" w:color="196B24" w:themeColor="accent3" w:sz="18" w:space="0"/>
          <w:right w:val="single" w:color="196B24" w:themeColor="accent3" w:sz="8" w:space="0"/>
          <w:insideH w:val="nil"/>
          <w:insideV w:val="single" w:color="196B24"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196B24" w:themeColor="accent3" w:sz="6" w:space="0"/>
          <w:left w:val="single" w:color="196B24" w:themeColor="accent3" w:sz="8" w:space="0"/>
          <w:bottom w:val="single" w:color="196B24" w:themeColor="accent3" w:sz="8" w:space="0"/>
          <w:right w:val="single" w:color="196B24" w:themeColor="accent3" w:sz="8" w:space="0"/>
          <w:insideH w:val="nil"/>
          <w:insideV w:val="single" w:color="196B24"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tcPr>
    </w:tblStylePr>
    <w:tblStylePr w:type="band1Vert">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shd w:val="clear" w:color="auto" w:fill="B3EDBA" w:themeFill="accent3" w:themeFillTint="3F"/>
      </w:tcPr>
    </w:tblStylePr>
    <w:tblStylePr w:type="band1Horz">
      <w:tblPr/>
      <w:tcPr>
        <w:tcBorders>
          <w:top w:val="single" w:color="196B24" w:themeColor="accent3" w:sz="8" w:space="0"/>
          <w:left w:val="single" w:color="196B24" w:themeColor="accent3" w:sz="8" w:space="0"/>
          <w:bottom w:val="single" w:color="196B24" w:themeColor="accent3" w:sz="8" w:space="0"/>
          <w:right w:val="single" w:color="196B24" w:themeColor="accent3" w:sz="8" w:space="0"/>
          <w:insideV w:val="single" w:color="196B24" w:themeColor="accent3" w:sz="8" w:space="0"/>
        </w:tcBorders>
        <w:shd w:val="clear" w:color="auto" w:fill="B3EDBA" w:themeFill="accent3" w:themeFillTint="3F"/>
      </w:tcPr>
    </w:tblStylePr>
    <w:tblStylePr w:type="band2Horz">
      <w:tblPr/>
      <w:tcPr>
        <w:tcBorders>
          <w:top w:val="single" w:color="196B24" w:themeColor="accent3" w:sz="8" w:space="0"/>
          <w:left w:val="single" w:color="196B24" w:themeColor="accent3" w:sz="8" w:space="0"/>
          <w:bottom w:val="single" w:color="196B24" w:themeColor="accent3" w:sz="8" w:space="0"/>
          <w:right w:val="single" w:color="196B24" w:themeColor="accent3" w:sz="8" w:space="0"/>
          <w:insideV w:val="single" w:color="196B24" w:themeColor="accent3" w:sz="8" w:space="0"/>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insideH w:val="single" w:color="0F9ED5" w:themeColor="accent4" w:sz="8" w:space="0"/>
        <w:insideV w:val="single" w:color="0F9ED5"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F9ED5" w:themeColor="accent4" w:sz="8" w:space="0"/>
          <w:left w:val="single" w:color="0F9ED5" w:themeColor="accent4" w:sz="8" w:space="0"/>
          <w:bottom w:val="single" w:color="0F9ED5" w:themeColor="accent4" w:sz="18" w:space="0"/>
          <w:right w:val="single" w:color="0F9ED5" w:themeColor="accent4" w:sz="8" w:space="0"/>
          <w:insideH w:val="nil"/>
          <w:insideV w:val="single" w:color="0F9ED5"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F9ED5" w:themeColor="accent4" w:sz="6" w:space="0"/>
          <w:left w:val="single" w:color="0F9ED5" w:themeColor="accent4" w:sz="8" w:space="0"/>
          <w:bottom w:val="single" w:color="0F9ED5" w:themeColor="accent4" w:sz="8" w:space="0"/>
          <w:right w:val="single" w:color="0F9ED5" w:themeColor="accent4" w:sz="8" w:space="0"/>
          <w:insideH w:val="nil"/>
          <w:insideV w:val="single" w:color="0F9ED5"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tcPr>
    </w:tblStylePr>
    <w:tblStylePr w:type="band1Vert">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shd w:val="clear" w:color="auto" w:fill="BDE9FA" w:themeFill="accent4" w:themeFillTint="3F"/>
      </w:tcPr>
    </w:tblStylePr>
    <w:tblStylePr w:type="band1Horz">
      <w:tblPr/>
      <w:tcPr>
        <w:tcBorders>
          <w:top w:val="single" w:color="0F9ED5" w:themeColor="accent4" w:sz="8" w:space="0"/>
          <w:left w:val="single" w:color="0F9ED5" w:themeColor="accent4" w:sz="8" w:space="0"/>
          <w:bottom w:val="single" w:color="0F9ED5" w:themeColor="accent4" w:sz="8" w:space="0"/>
          <w:right w:val="single" w:color="0F9ED5" w:themeColor="accent4" w:sz="8" w:space="0"/>
          <w:insideV w:val="single" w:color="0F9ED5" w:themeColor="accent4" w:sz="8" w:space="0"/>
        </w:tcBorders>
        <w:shd w:val="clear" w:color="auto" w:fill="BDE9FA" w:themeFill="accent4" w:themeFillTint="3F"/>
      </w:tcPr>
    </w:tblStylePr>
    <w:tblStylePr w:type="band2Horz">
      <w:tblPr/>
      <w:tcPr>
        <w:tcBorders>
          <w:top w:val="single" w:color="0F9ED5" w:themeColor="accent4" w:sz="8" w:space="0"/>
          <w:left w:val="single" w:color="0F9ED5" w:themeColor="accent4" w:sz="8" w:space="0"/>
          <w:bottom w:val="single" w:color="0F9ED5" w:themeColor="accent4" w:sz="8" w:space="0"/>
          <w:right w:val="single" w:color="0F9ED5" w:themeColor="accent4" w:sz="8" w:space="0"/>
          <w:insideV w:val="single" w:color="0F9ED5" w:themeColor="accent4" w:sz="8" w:space="0"/>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insideH w:val="single" w:color="A02B93" w:themeColor="accent5" w:sz="8" w:space="0"/>
        <w:insideV w:val="single" w:color="A02B93"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02B93" w:themeColor="accent5" w:sz="8" w:space="0"/>
          <w:left w:val="single" w:color="A02B93" w:themeColor="accent5" w:sz="8" w:space="0"/>
          <w:bottom w:val="single" w:color="A02B93" w:themeColor="accent5" w:sz="18" w:space="0"/>
          <w:right w:val="single" w:color="A02B93" w:themeColor="accent5" w:sz="8" w:space="0"/>
          <w:insideH w:val="nil"/>
          <w:insideV w:val="single" w:color="A02B93"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02B93" w:themeColor="accent5" w:sz="6" w:space="0"/>
          <w:left w:val="single" w:color="A02B93" w:themeColor="accent5" w:sz="8" w:space="0"/>
          <w:bottom w:val="single" w:color="A02B93" w:themeColor="accent5" w:sz="8" w:space="0"/>
          <w:right w:val="single" w:color="A02B93" w:themeColor="accent5" w:sz="8" w:space="0"/>
          <w:insideH w:val="nil"/>
          <w:insideV w:val="single" w:color="A02B93"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tblStylePr w:type="band1Vert">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shd w:val="clear" w:color="auto" w:fill="EFC3E9" w:themeFill="accent5" w:themeFillTint="3F"/>
      </w:tcPr>
    </w:tblStylePr>
    <w:tblStylePr w:type="band1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insideV w:val="single" w:color="A02B93" w:themeColor="accent5" w:sz="8" w:space="0"/>
        </w:tcBorders>
        <w:shd w:val="clear" w:color="auto" w:fill="EFC3E9" w:themeFill="accent5" w:themeFillTint="3F"/>
      </w:tcPr>
    </w:tblStylePr>
    <w:tblStylePr w:type="band2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insideV w:val="single" w:color="A02B93" w:themeColor="accent5" w:sz="8" w:space="0"/>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insideH w:val="single" w:color="4EA72E" w:themeColor="accent6" w:sz="8" w:space="0"/>
        <w:insideV w:val="single" w:color="4EA72E"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EA72E" w:themeColor="accent6" w:sz="8" w:space="0"/>
          <w:left w:val="single" w:color="4EA72E" w:themeColor="accent6" w:sz="8" w:space="0"/>
          <w:bottom w:val="single" w:color="4EA72E" w:themeColor="accent6" w:sz="18" w:space="0"/>
          <w:right w:val="single" w:color="4EA72E" w:themeColor="accent6" w:sz="8" w:space="0"/>
          <w:insideH w:val="nil"/>
          <w:insideV w:val="single" w:color="4EA72E"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EA72E" w:themeColor="accent6" w:sz="6" w:space="0"/>
          <w:left w:val="single" w:color="4EA72E" w:themeColor="accent6" w:sz="8" w:space="0"/>
          <w:bottom w:val="single" w:color="4EA72E" w:themeColor="accent6" w:sz="8" w:space="0"/>
          <w:right w:val="single" w:color="4EA72E" w:themeColor="accent6" w:sz="8" w:space="0"/>
          <w:insideH w:val="nil"/>
          <w:insideV w:val="single" w:color="4EA72E"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tcPr>
    </w:tblStylePr>
    <w:tblStylePr w:type="band1Vert">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shd w:val="clear" w:color="auto" w:fill="D0EFC5" w:themeFill="accent6" w:themeFillTint="3F"/>
      </w:tcPr>
    </w:tblStylePr>
    <w:tblStylePr w:type="band1Horz">
      <w:tblPr/>
      <w:tcPr>
        <w:tcBorders>
          <w:top w:val="single" w:color="4EA72E" w:themeColor="accent6" w:sz="8" w:space="0"/>
          <w:left w:val="single" w:color="4EA72E" w:themeColor="accent6" w:sz="8" w:space="0"/>
          <w:bottom w:val="single" w:color="4EA72E" w:themeColor="accent6" w:sz="8" w:space="0"/>
          <w:right w:val="single" w:color="4EA72E" w:themeColor="accent6" w:sz="8" w:space="0"/>
          <w:insideV w:val="single" w:color="4EA72E" w:themeColor="accent6" w:sz="8" w:space="0"/>
        </w:tcBorders>
        <w:shd w:val="clear" w:color="auto" w:fill="D0EFC5" w:themeFill="accent6" w:themeFillTint="3F"/>
      </w:tcPr>
    </w:tblStylePr>
    <w:tblStylePr w:type="band2Horz">
      <w:tblPr/>
      <w:tcPr>
        <w:tcBorders>
          <w:top w:val="single" w:color="4EA72E" w:themeColor="accent6" w:sz="8" w:space="0"/>
          <w:left w:val="single" w:color="4EA72E" w:themeColor="accent6" w:sz="8" w:space="0"/>
          <w:bottom w:val="single" w:color="4EA72E" w:themeColor="accent6" w:sz="8" w:space="0"/>
          <w:right w:val="single" w:color="4EA72E" w:themeColor="accent6" w:sz="8" w:space="0"/>
          <w:insideV w:val="single" w:color="4EA72E" w:themeColor="accent6" w:sz="8" w:space="0"/>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color="156082" w:themeColor="accent1" w:sz="6" w:space="0"/>
          <w:left w:val="single" w:color="156082" w:themeColor="accent1" w:sz="8" w:space="0"/>
          <w:bottom w:val="single" w:color="156082" w:themeColor="accent1" w:sz="8" w:space="0"/>
          <w:right w:val="single" w:color="156082" w:themeColor="accent1" w:sz="8" w:space="0"/>
        </w:tcBorders>
      </w:tcPr>
    </w:tblStylePr>
    <w:tblStylePr w:type="firstCol">
      <w:rPr>
        <w:b/>
        <w:bCs/>
      </w:rPr>
    </w:tblStylePr>
    <w:tblStylePr w:type="lastCol">
      <w:rPr>
        <w:b/>
        <w:bCs/>
      </w:rPr>
    </w:tblStylePr>
    <w:tblStylePr w:type="band1Vert">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tcPr>
    </w:tblStylePr>
    <w:tblStylePr w:type="band1Horz">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color="E97132" w:themeColor="accent2" w:sz="6" w:space="0"/>
          <w:left w:val="single" w:color="E97132" w:themeColor="accent2" w:sz="8" w:space="0"/>
          <w:bottom w:val="single" w:color="E97132" w:themeColor="accent2" w:sz="8" w:space="0"/>
          <w:right w:val="single" w:color="E97132" w:themeColor="accent2" w:sz="8" w:space="0"/>
        </w:tcBorders>
      </w:tcPr>
    </w:tblStylePr>
    <w:tblStylePr w:type="firstCol">
      <w:rPr>
        <w:b/>
        <w:bCs/>
      </w:rPr>
    </w:tblStylePr>
    <w:tblStylePr w:type="lastCol">
      <w:rPr>
        <w:b/>
        <w:bCs/>
      </w:rPr>
    </w:tblStylePr>
    <w:tblStylePr w:type="band1Vert">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tcPr>
    </w:tblStylePr>
    <w:tblStylePr w:type="band1Horz">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color="196B24" w:themeColor="accent3" w:sz="6" w:space="0"/>
          <w:left w:val="single" w:color="196B24" w:themeColor="accent3" w:sz="8" w:space="0"/>
          <w:bottom w:val="single" w:color="196B24" w:themeColor="accent3" w:sz="8" w:space="0"/>
          <w:right w:val="single" w:color="196B24" w:themeColor="accent3" w:sz="8" w:space="0"/>
        </w:tcBorders>
      </w:tcPr>
    </w:tblStylePr>
    <w:tblStylePr w:type="firstCol">
      <w:rPr>
        <w:b/>
        <w:bCs/>
      </w:rPr>
    </w:tblStylePr>
    <w:tblStylePr w:type="lastCol">
      <w:rPr>
        <w:b/>
        <w:bCs/>
      </w:rPr>
    </w:tblStylePr>
    <w:tblStylePr w:type="band1Vert">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tcPr>
    </w:tblStylePr>
    <w:tblStylePr w:type="band1Horz">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color="0F9ED5" w:themeColor="accent4" w:sz="6" w:space="0"/>
          <w:left w:val="single" w:color="0F9ED5" w:themeColor="accent4" w:sz="8" w:space="0"/>
          <w:bottom w:val="single" w:color="0F9ED5" w:themeColor="accent4" w:sz="8" w:space="0"/>
          <w:right w:val="single" w:color="0F9ED5" w:themeColor="accent4" w:sz="8" w:space="0"/>
        </w:tcBorders>
      </w:tcPr>
    </w:tblStylePr>
    <w:tblStylePr w:type="firstCol">
      <w:rPr>
        <w:b/>
        <w:bCs/>
      </w:rPr>
    </w:tblStylePr>
    <w:tblStylePr w:type="lastCol">
      <w:rPr>
        <w:b/>
        <w:bCs/>
      </w:rPr>
    </w:tblStylePr>
    <w:tblStylePr w:type="band1Vert">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tcPr>
    </w:tblStylePr>
    <w:tblStylePr w:type="band1Horz">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color="A02B93" w:themeColor="accent5" w:sz="6" w:space="0"/>
          <w:left w:val="single" w:color="A02B93" w:themeColor="accent5" w:sz="8" w:space="0"/>
          <w:bottom w:val="single" w:color="A02B93" w:themeColor="accent5" w:sz="8" w:space="0"/>
          <w:right w:val="single" w:color="A02B93" w:themeColor="accent5" w:sz="8" w:space="0"/>
        </w:tcBorders>
      </w:tcPr>
    </w:tblStylePr>
    <w:tblStylePr w:type="firstCol">
      <w:rPr>
        <w:b/>
        <w:bCs/>
      </w:rPr>
    </w:tblStylePr>
    <w:tblStylePr w:type="lastCol">
      <w:rPr>
        <w:b/>
        <w:bCs/>
      </w:rPr>
    </w:tblStylePr>
    <w:tblStylePr w:type="band1Vert">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tblStylePr w:type="band1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color="4EA72E" w:themeColor="accent6" w:sz="6" w:space="0"/>
          <w:left w:val="single" w:color="4EA72E" w:themeColor="accent6" w:sz="8" w:space="0"/>
          <w:bottom w:val="single" w:color="4EA72E" w:themeColor="accent6" w:sz="8" w:space="0"/>
          <w:right w:val="single" w:color="4EA72E" w:themeColor="accent6" w:sz="8" w:space="0"/>
        </w:tcBorders>
      </w:tcPr>
    </w:tblStylePr>
    <w:tblStylePr w:type="firstCol">
      <w:rPr>
        <w:b/>
        <w:bCs/>
      </w:rPr>
    </w:tblStylePr>
    <w:tblStylePr w:type="lastCol">
      <w:rPr>
        <w:b/>
        <w:bCs/>
      </w:rPr>
    </w:tblStylePr>
    <w:tblStylePr w:type="band1Vert">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tcPr>
    </w:tblStylePr>
    <w:tblStylePr w:type="band1Horz">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color="156082" w:themeColor="accent1" w:sz="8" w:space="0"/>
        <w:bottom w:val="single" w:color="156082" w:themeColor="accent1" w:sz="8" w:space="0"/>
      </w:tblBorders>
    </w:tblPr>
    <w:tblStylePr w:type="firstRow">
      <w:pPr>
        <w:spacing w:before="0" w:after="0" w:line="240" w:lineRule="auto"/>
      </w:pPr>
      <w:rPr>
        <w:b/>
        <w:bCs/>
      </w:rPr>
      <w:tblPr/>
      <w:tcPr>
        <w:tcBorders>
          <w:top w:val="single" w:color="156082" w:themeColor="accent1" w:sz="8" w:space="0"/>
          <w:left w:val="nil"/>
          <w:bottom w:val="single" w:color="156082" w:themeColor="accent1" w:sz="8" w:space="0"/>
          <w:right w:val="nil"/>
          <w:insideH w:val="nil"/>
          <w:insideV w:val="nil"/>
        </w:tcBorders>
      </w:tcPr>
    </w:tblStylePr>
    <w:tblStylePr w:type="lastRow">
      <w:pPr>
        <w:spacing w:before="0" w:after="0" w:line="240" w:lineRule="auto"/>
      </w:pPr>
      <w:rPr>
        <w:b/>
        <w:bCs/>
      </w:rPr>
      <w:tblPr/>
      <w:tcPr>
        <w:tcBorders>
          <w:top w:val="single" w:color="156082" w:themeColor="accent1" w:sz="8" w:space="0"/>
          <w:left w:val="nil"/>
          <w:bottom w:val="single" w:color="156082"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color="E97132" w:themeColor="accent2" w:sz="8" w:space="0"/>
        <w:bottom w:val="single" w:color="E97132" w:themeColor="accent2" w:sz="8" w:space="0"/>
      </w:tblBorders>
    </w:tblPr>
    <w:tblStylePr w:type="firstRow">
      <w:pPr>
        <w:spacing w:before="0" w:after="0" w:line="240" w:lineRule="auto"/>
      </w:pPr>
      <w:rPr>
        <w:b/>
        <w:bCs/>
      </w:rPr>
      <w:tblPr/>
      <w:tcPr>
        <w:tcBorders>
          <w:top w:val="single" w:color="E97132" w:themeColor="accent2" w:sz="8" w:space="0"/>
          <w:left w:val="nil"/>
          <w:bottom w:val="single" w:color="E97132" w:themeColor="accent2" w:sz="8" w:space="0"/>
          <w:right w:val="nil"/>
          <w:insideH w:val="nil"/>
          <w:insideV w:val="nil"/>
        </w:tcBorders>
      </w:tcPr>
    </w:tblStylePr>
    <w:tblStylePr w:type="lastRow">
      <w:pPr>
        <w:spacing w:before="0" w:after="0" w:line="240" w:lineRule="auto"/>
      </w:pPr>
      <w:rPr>
        <w:b/>
        <w:bCs/>
      </w:rPr>
      <w:tblPr/>
      <w:tcPr>
        <w:tcBorders>
          <w:top w:val="single" w:color="E97132" w:themeColor="accent2" w:sz="8" w:space="0"/>
          <w:left w:val="nil"/>
          <w:bottom w:val="single" w:color="E97132"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color="196B24" w:themeColor="accent3" w:sz="8" w:space="0"/>
        <w:bottom w:val="single" w:color="196B24" w:themeColor="accent3" w:sz="8" w:space="0"/>
      </w:tblBorders>
    </w:tblPr>
    <w:tblStylePr w:type="firstRow">
      <w:pPr>
        <w:spacing w:before="0" w:after="0" w:line="240" w:lineRule="auto"/>
      </w:pPr>
      <w:rPr>
        <w:b/>
        <w:bCs/>
      </w:rPr>
      <w:tblPr/>
      <w:tcPr>
        <w:tcBorders>
          <w:top w:val="single" w:color="196B24" w:themeColor="accent3" w:sz="8" w:space="0"/>
          <w:left w:val="nil"/>
          <w:bottom w:val="single" w:color="196B24" w:themeColor="accent3" w:sz="8" w:space="0"/>
          <w:right w:val="nil"/>
          <w:insideH w:val="nil"/>
          <w:insideV w:val="nil"/>
        </w:tcBorders>
      </w:tcPr>
    </w:tblStylePr>
    <w:tblStylePr w:type="lastRow">
      <w:pPr>
        <w:spacing w:before="0" w:after="0" w:line="240" w:lineRule="auto"/>
      </w:pPr>
      <w:rPr>
        <w:b/>
        <w:bCs/>
      </w:rPr>
      <w:tblPr/>
      <w:tcPr>
        <w:tcBorders>
          <w:top w:val="single" w:color="196B24" w:themeColor="accent3" w:sz="8" w:space="0"/>
          <w:left w:val="nil"/>
          <w:bottom w:val="single" w:color="196B24"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color="0F9ED5" w:themeColor="accent4" w:sz="8" w:space="0"/>
        <w:bottom w:val="single" w:color="0F9ED5" w:themeColor="accent4" w:sz="8" w:space="0"/>
      </w:tblBorders>
    </w:tblPr>
    <w:tblStylePr w:type="firstRow">
      <w:pPr>
        <w:spacing w:before="0" w:after="0" w:line="240" w:lineRule="auto"/>
      </w:pPr>
      <w:rPr>
        <w:b/>
        <w:bCs/>
      </w:rPr>
      <w:tblPr/>
      <w:tcPr>
        <w:tcBorders>
          <w:top w:val="single" w:color="0F9ED5" w:themeColor="accent4" w:sz="8" w:space="0"/>
          <w:left w:val="nil"/>
          <w:bottom w:val="single" w:color="0F9ED5" w:themeColor="accent4" w:sz="8" w:space="0"/>
          <w:right w:val="nil"/>
          <w:insideH w:val="nil"/>
          <w:insideV w:val="nil"/>
        </w:tcBorders>
      </w:tcPr>
    </w:tblStylePr>
    <w:tblStylePr w:type="lastRow">
      <w:pPr>
        <w:spacing w:before="0" w:after="0" w:line="240" w:lineRule="auto"/>
      </w:pPr>
      <w:rPr>
        <w:b/>
        <w:bCs/>
      </w:rPr>
      <w:tblPr/>
      <w:tcPr>
        <w:tcBorders>
          <w:top w:val="single" w:color="0F9ED5" w:themeColor="accent4" w:sz="8" w:space="0"/>
          <w:left w:val="nil"/>
          <w:bottom w:val="single" w:color="0F9ED5"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color="A02B93" w:themeColor="accent5" w:sz="8" w:space="0"/>
        <w:bottom w:val="single" w:color="A02B93" w:themeColor="accent5" w:sz="8" w:space="0"/>
      </w:tblBorders>
    </w:tblPr>
    <w:tblStylePr w:type="firstRow">
      <w:pPr>
        <w:spacing w:before="0" w:after="0" w:line="240" w:lineRule="auto"/>
      </w:pPr>
      <w:rPr>
        <w:b/>
        <w:bCs/>
      </w:rPr>
      <w:tblPr/>
      <w:tcPr>
        <w:tcBorders>
          <w:top w:val="single" w:color="A02B93" w:themeColor="accent5" w:sz="8" w:space="0"/>
          <w:left w:val="nil"/>
          <w:bottom w:val="single" w:color="A02B93" w:themeColor="accent5" w:sz="8" w:space="0"/>
          <w:right w:val="nil"/>
          <w:insideH w:val="nil"/>
          <w:insideV w:val="nil"/>
        </w:tcBorders>
      </w:tcPr>
    </w:tblStylePr>
    <w:tblStylePr w:type="lastRow">
      <w:pPr>
        <w:spacing w:before="0" w:after="0" w:line="240" w:lineRule="auto"/>
      </w:pPr>
      <w:rPr>
        <w:b/>
        <w:bCs/>
      </w:rPr>
      <w:tblPr/>
      <w:tcPr>
        <w:tcBorders>
          <w:top w:val="single" w:color="A02B93" w:themeColor="accent5" w:sz="8" w:space="0"/>
          <w:left w:val="nil"/>
          <w:bottom w:val="single" w:color="A02B93"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color="4EA72E" w:themeColor="accent6" w:sz="8" w:space="0"/>
        <w:bottom w:val="single" w:color="4EA72E" w:themeColor="accent6" w:sz="8" w:space="0"/>
      </w:tblBorders>
    </w:tblPr>
    <w:tblStylePr w:type="firstRow">
      <w:pPr>
        <w:spacing w:before="0" w:after="0" w:line="240" w:lineRule="auto"/>
      </w:pPr>
      <w:rPr>
        <w:b/>
        <w:bCs/>
      </w:rPr>
      <w:tblPr/>
      <w:tcPr>
        <w:tcBorders>
          <w:top w:val="single" w:color="4EA72E" w:themeColor="accent6" w:sz="8" w:space="0"/>
          <w:left w:val="nil"/>
          <w:bottom w:val="single" w:color="4EA72E" w:themeColor="accent6" w:sz="8" w:space="0"/>
          <w:right w:val="nil"/>
          <w:insideH w:val="nil"/>
          <w:insideV w:val="nil"/>
        </w:tcBorders>
      </w:tcPr>
    </w:tblStylePr>
    <w:tblStylePr w:type="lastRow">
      <w:pPr>
        <w:spacing w:before="0" w:after="0" w:line="240" w:lineRule="auto"/>
      </w:pPr>
      <w:rPr>
        <w:b/>
        <w:bCs/>
      </w:rPr>
      <w:tblPr/>
      <w:tcPr>
        <w:tcBorders>
          <w:top w:val="single" w:color="4EA72E" w:themeColor="accent6" w:sz="8" w:space="0"/>
          <w:left w:val="nil"/>
          <w:bottom w:val="single" w:color="4EA72E"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color="45B0E1" w:themeColor="accent1" w:themeTint="99" w:sz="4" w:space="0"/>
        </w:tcBorders>
      </w:tcPr>
    </w:tblStylePr>
    <w:tblStylePr w:type="lastRow">
      <w:rPr>
        <w:b/>
        <w:bCs/>
      </w:rPr>
      <w:tblPr/>
      <w:tcPr>
        <w:tcBorders>
          <w:top w:val="sing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color="F1A983" w:themeColor="accent2" w:themeTint="99" w:sz="4" w:space="0"/>
        </w:tcBorders>
      </w:tcPr>
    </w:tblStylePr>
    <w:tblStylePr w:type="lastRow">
      <w:rPr>
        <w:b/>
        <w:bCs/>
      </w:rPr>
      <w:tblPr/>
      <w:tcPr>
        <w:tcBorders>
          <w:top w:val="sing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color="47D459" w:themeColor="accent3" w:themeTint="99" w:sz="4" w:space="0"/>
        </w:tcBorders>
      </w:tcPr>
    </w:tblStylePr>
    <w:tblStylePr w:type="lastRow">
      <w:rPr>
        <w:b/>
        <w:bCs/>
      </w:rPr>
      <w:tblPr/>
      <w:tcPr>
        <w:tcBorders>
          <w:top w:val="sing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color="60CAF3" w:themeColor="accent4" w:themeTint="99" w:sz="4" w:space="0"/>
        </w:tcBorders>
      </w:tcPr>
    </w:tblStylePr>
    <w:tblStylePr w:type="lastRow">
      <w:rPr>
        <w:b/>
        <w:bCs/>
      </w:rPr>
      <w:tblPr/>
      <w:tcPr>
        <w:tcBorders>
          <w:top w:val="sing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color="D86DCB" w:themeColor="accent5" w:themeTint="99" w:sz="4" w:space="0"/>
        </w:tcBorders>
      </w:tcPr>
    </w:tblStylePr>
    <w:tblStylePr w:type="lastRow">
      <w:rPr>
        <w:b/>
        <w:bCs/>
      </w:rPr>
      <w:tblPr/>
      <w:tcPr>
        <w:tcBorders>
          <w:top w:val="sing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color="8DD873" w:themeColor="accent6" w:themeTint="99" w:sz="4" w:space="0"/>
        </w:tcBorders>
      </w:tcPr>
    </w:tblStylePr>
    <w:tblStylePr w:type="lastRow">
      <w:rPr>
        <w:b/>
        <w:bCs/>
      </w:rPr>
      <w:tblPr/>
      <w:tcPr>
        <w:tcBorders>
          <w:top w:val="sing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color="45B0E1" w:themeColor="accent1" w:themeTint="99" w:sz="4" w:space="0"/>
        <w:bottom w:val="single" w:color="45B0E1" w:themeColor="accent1" w:themeTint="99" w:sz="4" w:space="0"/>
        <w:insideH w:val="single" w:color="45B0E1"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color="F1A983" w:themeColor="accent2" w:themeTint="99" w:sz="4" w:space="0"/>
        <w:bottom w:val="single" w:color="F1A983" w:themeColor="accent2" w:themeTint="99" w:sz="4" w:space="0"/>
        <w:insideH w:val="single" w:color="F1A983"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color="47D459" w:themeColor="accent3" w:themeTint="99" w:sz="4" w:space="0"/>
        <w:bottom w:val="single" w:color="47D459" w:themeColor="accent3" w:themeTint="99" w:sz="4" w:space="0"/>
        <w:insideH w:val="single" w:color="47D459"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color="60CAF3" w:themeColor="accent4" w:themeTint="99" w:sz="4" w:space="0"/>
        <w:bottom w:val="single" w:color="60CAF3" w:themeColor="accent4" w:themeTint="99" w:sz="4" w:space="0"/>
        <w:insideH w:val="single" w:color="60CAF3"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color="D86DCB" w:themeColor="accent5" w:themeTint="99" w:sz="4" w:space="0"/>
        <w:bottom w:val="single" w:color="D86DCB" w:themeColor="accent5" w:themeTint="99" w:sz="4" w:space="0"/>
        <w:insideH w:val="single" w:color="D86DCB"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color="8DD873" w:themeColor="accent6" w:themeTint="99" w:sz="4" w:space="0"/>
        <w:bottom w:val="single" w:color="8DD873" w:themeColor="accent6" w:themeTint="99" w:sz="4" w:space="0"/>
        <w:insideH w:val="single" w:color="8DD873"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color="E97132" w:themeColor="accent2" w:sz="4" w:space="0"/>
        <w:left w:val="single" w:color="E97132" w:themeColor="accent2" w:sz="4" w:space="0"/>
        <w:bottom w:val="single" w:color="E97132" w:themeColor="accent2" w:sz="4" w:space="0"/>
        <w:right w:val="single" w:color="E97132" w:themeColor="accent2" w:sz="4" w:space="0"/>
      </w:tblBorders>
    </w:tblPr>
    <w:tblStylePr w:type="firstRow">
      <w:rPr>
        <w:b/>
        <w:bCs/>
        <w:color w:val="FFFFFF" w:themeColor="background1"/>
      </w:rPr>
      <w:tblPr/>
      <w:tcPr>
        <w:shd w:val="clear" w:color="auto" w:fill="E97132" w:themeFill="accent2"/>
      </w:tcPr>
    </w:tblStylePr>
    <w:tblStylePr w:type="lastRow">
      <w:rPr>
        <w:b/>
        <w:bCs/>
      </w:rPr>
      <w:tblPr/>
      <w:tcPr>
        <w:tcBorders>
          <w:top w:val="double" w:color="E97132"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97132" w:themeColor="accent2" w:sz="4" w:space="0"/>
          <w:right w:val="single" w:color="E97132" w:themeColor="accent2" w:sz="4" w:space="0"/>
        </w:tcBorders>
      </w:tcPr>
    </w:tblStylePr>
    <w:tblStylePr w:type="band1Horz">
      <w:tblPr/>
      <w:tcPr>
        <w:tcBorders>
          <w:top w:val="single" w:color="E97132" w:themeColor="accent2" w:sz="4" w:space="0"/>
          <w:bottom w:val="single" w:color="E97132"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97132" w:themeColor="accent2" w:sz="4" w:space="0"/>
          <w:left w:val="nil"/>
        </w:tcBorders>
      </w:tcPr>
    </w:tblStylePr>
    <w:tblStylePr w:type="swCell">
      <w:tblPr/>
      <w:tcPr>
        <w:tcBorders>
          <w:top w:val="double" w:color="E97132" w:themeColor="accent2" w:sz="4" w:space="0"/>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color="196B24" w:themeColor="accent3" w:sz="4" w:space="0"/>
        <w:left w:val="single" w:color="196B24" w:themeColor="accent3" w:sz="4" w:space="0"/>
        <w:bottom w:val="single" w:color="196B24" w:themeColor="accent3" w:sz="4" w:space="0"/>
        <w:right w:val="single" w:color="196B24" w:themeColor="accent3" w:sz="4" w:space="0"/>
      </w:tblBorders>
    </w:tblPr>
    <w:tblStylePr w:type="firstRow">
      <w:rPr>
        <w:b/>
        <w:bCs/>
        <w:color w:val="FFFFFF" w:themeColor="background1"/>
      </w:rPr>
      <w:tblPr/>
      <w:tcPr>
        <w:shd w:val="clear" w:color="auto" w:fill="196B24" w:themeFill="accent3"/>
      </w:tcPr>
    </w:tblStylePr>
    <w:tblStylePr w:type="lastRow">
      <w:rPr>
        <w:b/>
        <w:bCs/>
      </w:rPr>
      <w:tblPr/>
      <w:tcPr>
        <w:tcBorders>
          <w:top w:val="double" w:color="196B24"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96B24" w:themeColor="accent3" w:sz="4" w:space="0"/>
          <w:right w:val="single" w:color="196B24" w:themeColor="accent3" w:sz="4" w:space="0"/>
        </w:tcBorders>
      </w:tcPr>
    </w:tblStylePr>
    <w:tblStylePr w:type="band1Horz">
      <w:tblPr/>
      <w:tcPr>
        <w:tcBorders>
          <w:top w:val="single" w:color="196B24" w:themeColor="accent3" w:sz="4" w:space="0"/>
          <w:bottom w:val="single" w:color="196B24"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96B24" w:themeColor="accent3" w:sz="4" w:space="0"/>
          <w:left w:val="nil"/>
        </w:tcBorders>
      </w:tcPr>
    </w:tblStylePr>
    <w:tblStylePr w:type="swCell">
      <w:tblPr/>
      <w:tcPr>
        <w:tcBorders>
          <w:top w:val="double" w:color="196B24" w:themeColor="accent3" w:sz="4" w:space="0"/>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color="0F9ED5" w:themeColor="accent4" w:sz="4" w:space="0"/>
        <w:left w:val="single" w:color="0F9ED5" w:themeColor="accent4" w:sz="4" w:space="0"/>
        <w:bottom w:val="single" w:color="0F9ED5" w:themeColor="accent4" w:sz="4" w:space="0"/>
        <w:right w:val="single" w:color="0F9ED5" w:themeColor="accent4" w:sz="4" w:space="0"/>
      </w:tblBorders>
    </w:tblPr>
    <w:tblStylePr w:type="firstRow">
      <w:rPr>
        <w:b/>
        <w:bCs/>
        <w:color w:val="FFFFFF" w:themeColor="background1"/>
      </w:rPr>
      <w:tblPr/>
      <w:tcPr>
        <w:shd w:val="clear" w:color="auto" w:fill="0F9ED5" w:themeFill="accent4"/>
      </w:tcPr>
    </w:tblStylePr>
    <w:tblStylePr w:type="lastRow">
      <w:rPr>
        <w:b/>
        <w:bCs/>
      </w:rPr>
      <w:tblPr/>
      <w:tcPr>
        <w:tcBorders>
          <w:top w:val="double" w:color="0F9ED5"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F9ED5" w:themeColor="accent4" w:sz="4" w:space="0"/>
          <w:right w:val="single" w:color="0F9ED5" w:themeColor="accent4" w:sz="4" w:space="0"/>
        </w:tcBorders>
      </w:tcPr>
    </w:tblStylePr>
    <w:tblStylePr w:type="band1Horz">
      <w:tblPr/>
      <w:tcPr>
        <w:tcBorders>
          <w:top w:val="single" w:color="0F9ED5" w:themeColor="accent4" w:sz="4" w:space="0"/>
          <w:bottom w:val="single" w:color="0F9ED5"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F9ED5" w:themeColor="accent4" w:sz="4" w:space="0"/>
          <w:left w:val="nil"/>
        </w:tcBorders>
      </w:tcPr>
    </w:tblStylePr>
    <w:tblStylePr w:type="swCell">
      <w:tblPr/>
      <w:tcPr>
        <w:tcBorders>
          <w:top w:val="double" w:color="0F9ED5" w:themeColor="accent4" w:sz="4" w:space="0"/>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color="A02B93" w:themeColor="accent5" w:sz="4" w:space="0"/>
        <w:left w:val="single" w:color="A02B93" w:themeColor="accent5" w:sz="4" w:space="0"/>
        <w:bottom w:val="single" w:color="A02B93" w:themeColor="accent5" w:sz="4" w:space="0"/>
        <w:right w:val="single" w:color="A02B93" w:themeColor="accent5" w:sz="4" w:space="0"/>
      </w:tblBorders>
    </w:tblPr>
    <w:tblStylePr w:type="firstRow">
      <w:rPr>
        <w:b/>
        <w:bCs/>
        <w:color w:val="FFFFFF" w:themeColor="background1"/>
      </w:rPr>
      <w:tblPr/>
      <w:tcPr>
        <w:shd w:val="clear" w:color="auto" w:fill="A02B93" w:themeFill="accent5"/>
      </w:tcPr>
    </w:tblStylePr>
    <w:tblStylePr w:type="lastRow">
      <w:rPr>
        <w:b/>
        <w:bCs/>
      </w:rPr>
      <w:tblPr/>
      <w:tcPr>
        <w:tcBorders>
          <w:top w:val="double" w:color="A02B93"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02B93" w:themeColor="accent5" w:sz="4" w:space="0"/>
          <w:right w:val="single" w:color="A02B93" w:themeColor="accent5" w:sz="4" w:space="0"/>
        </w:tcBorders>
      </w:tcPr>
    </w:tblStylePr>
    <w:tblStylePr w:type="band1Horz">
      <w:tblPr/>
      <w:tcPr>
        <w:tcBorders>
          <w:top w:val="single" w:color="A02B93" w:themeColor="accent5" w:sz="4" w:space="0"/>
          <w:bottom w:val="single" w:color="A02B93"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02B93" w:themeColor="accent5" w:sz="4" w:space="0"/>
          <w:left w:val="nil"/>
        </w:tcBorders>
      </w:tcPr>
    </w:tblStylePr>
    <w:tblStylePr w:type="swCell">
      <w:tblPr/>
      <w:tcPr>
        <w:tcBorders>
          <w:top w:val="double" w:color="A02B93" w:themeColor="accent5" w:sz="4" w:space="0"/>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color="4EA72E" w:themeColor="accent6" w:sz="4" w:space="0"/>
        <w:left w:val="single" w:color="4EA72E" w:themeColor="accent6" w:sz="4" w:space="0"/>
        <w:bottom w:val="single" w:color="4EA72E" w:themeColor="accent6" w:sz="4" w:space="0"/>
        <w:right w:val="single" w:color="4EA72E" w:themeColor="accent6" w:sz="4" w:space="0"/>
      </w:tblBorders>
    </w:tblPr>
    <w:tblStylePr w:type="firstRow">
      <w:rPr>
        <w:b/>
        <w:bCs/>
        <w:color w:val="FFFFFF" w:themeColor="background1"/>
      </w:rPr>
      <w:tblPr/>
      <w:tcPr>
        <w:shd w:val="clear" w:color="auto" w:fill="4EA72E" w:themeFill="accent6"/>
      </w:tcPr>
    </w:tblStylePr>
    <w:tblStylePr w:type="lastRow">
      <w:rPr>
        <w:b/>
        <w:bCs/>
      </w:rPr>
      <w:tblPr/>
      <w:tcPr>
        <w:tcBorders>
          <w:top w:val="double" w:color="4EA72E"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EA72E" w:themeColor="accent6" w:sz="4" w:space="0"/>
          <w:right w:val="single" w:color="4EA72E" w:themeColor="accent6" w:sz="4" w:space="0"/>
        </w:tcBorders>
      </w:tcPr>
    </w:tblStylePr>
    <w:tblStylePr w:type="band1Horz">
      <w:tblPr/>
      <w:tcPr>
        <w:tcBorders>
          <w:top w:val="single" w:color="4EA72E" w:themeColor="accent6" w:sz="4" w:space="0"/>
          <w:bottom w:val="single" w:color="4EA72E"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EA72E" w:themeColor="accent6" w:sz="4" w:space="0"/>
          <w:left w:val="nil"/>
        </w:tcBorders>
      </w:tcPr>
    </w:tblStylePr>
    <w:tblStylePr w:type="swCell">
      <w:tblPr/>
      <w:tcPr>
        <w:tcBorders>
          <w:top w:val="double" w:color="4EA72E" w:themeColor="accent6" w:sz="4" w:space="0"/>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tcBorders>
        <w:shd w:val="clear" w:color="auto" w:fill="156082" w:themeFill="accent1"/>
      </w:tcPr>
    </w:tblStylePr>
    <w:tblStylePr w:type="lastRow">
      <w:rPr>
        <w:b/>
        <w:bCs/>
      </w:rPr>
      <w:tblPr/>
      <w:tcPr>
        <w:tcBorders>
          <w:top w:val="doub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tblBorders>
    </w:tblPr>
    <w:tblStylePr w:type="firstRow">
      <w:rPr>
        <w:b/>
        <w:bCs/>
        <w:color w:val="FFFFFF" w:themeColor="background1"/>
      </w:rPr>
      <w:tblPr/>
      <w:tcPr>
        <w:tcBorders>
          <w:top w:val="single" w:color="E97132" w:themeColor="accent2" w:sz="4" w:space="0"/>
          <w:left w:val="single" w:color="E97132" w:themeColor="accent2" w:sz="4" w:space="0"/>
          <w:bottom w:val="single" w:color="E97132" w:themeColor="accent2" w:sz="4" w:space="0"/>
          <w:right w:val="single" w:color="E97132" w:themeColor="accent2" w:sz="4" w:space="0"/>
          <w:insideH w:val="nil"/>
        </w:tcBorders>
        <w:shd w:val="clear" w:color="auto" w:fill="E97132" w:themeFill="accent2"/>
      </w:tcPr>
    </w:tblStylePr>
    <w:tblStylePr w:type="lastRow">
      <w:rPr>
        <w:b/>
        <w:bCs/>
      </w:rPr>
      <w:tblPr/>
      <w:tcPr>
        <w:tcBorders>
          <w:top w:val="doub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tblBorders>
    </w:tblPr>
    <w:tblStylePr w:type="firstRow">
      <w:rPr>
        <w:b/>
        <w:bCs/>
        <w:color w:val="FFFFFF" w:themeColor="background1"/>
      </w:rPr>
      <w:tblPr/>
      <w:tcPr>
        <w:tcBorders>
          <w:top w:val="single" w:color="196B24" w:themeColor="accent3" w:sz="4" w:space="0"/>
          <w:left w:val="single" w:color="196B24" w:themeColor="accent3" w:sz="4" w:space="0"/>
          <w:bottom w:val="single" w:color="196B24" w:themeColor="accent3" w:sz="4" w:space="0"/>
          <w:right w:val="single" w:color="196B24" w:themeColor="accent3" w:sz="4" w:space="0"/>
          <w:insideH w:val="nil"/>
        </w:tcBorders>
        <w:shd w:val="clear" w:color="auto" w:fill="196B24" w:themeFill="accent3"/>
      </w:tcPr>
    </w:tblStylePr>
    <w:tblStylePr w:type="lastRow">
      <w:rPr>
        <w:b/>
        <w:bCs/>
      </w:rPr>
      <w:tblPr/>
      <w:tcPr>
        <w:tcBorders>
          <w:top w:val="doub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tcBorders>
        <w:shd w:val="clear" w:color="auto" w:fill="0F9ED5" w:themeFill="accent4"/>
      </w:tcPr>
    </w:tblStylePr>
    <w:tblStylePr w:type="lastRow">
      <w:rPr>
        <w:b/>
        <w:bCs/>
      </w:rPr>
      <w:tblPr/>
      <w:tcPr>
        <w:tcBorders>
          <w:top w:val="doub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tblBorders>
    </w:tblPr>
    <w:tblStylePr w:type="firstRow">
      <w:rPr>
        <w:b/>
        <w:bCs/>
        <w:color w:val="FFFFFF" w:themeColor="background1"/>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tcBorders>
        <w:shd w:val="clear" w:color="auto" w:fill="A02B93" w:themeFill="accent5"/>
      </w:tcPr>
    </w:tblStylePr>
    <w:tblStylePr w:type="lastRow">
      <w:rPr>
        <w:b/>
        <w:bCs/>
      </w:rPr>
      <w:tblPr/>
      <w:tcPr>
        <w:tcBorders>
          <w:top w:val="doub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tblBorders>
    </w:tblPr>
    <w:tblStylePr w:type="firstRow">
      <w:rPr>
        <w:b/>
        <w:bCs/>
        <w:color w:val="FFFFFF" w:themeColor="background1"/>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insideH w:val="nil"/>
        </w:tcBorders>
        <w:shd w:val="clear" w:color="auto" w:fill="4EA72E" w:themeFill="accent6"/>
      </w:tcPr>
    </w:tblStylePr>
    <w:tblStylePr w:type="lastRow">
      <w:rPr>
        <w:b/>
        <w:bCs/>
      </w:rPr>
      <w:tblPr/>
      <w:tcPr>
        <w:tcBorders>
          <w:top w:val="doub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color="156082" w:themeColor="accent1" w:sz="24" w:space="0"/>
        <w:left w:val="single" w:color="156082" w:themeColor="accent1" w:sz="24" w:space="0"/>
        <w:bottom w:val="single" w:color="156082" w:themeColor="accent1" w:sz="24" w:space="0"/>
        <w:right w:val="single" w:color="156082" w:themeColor="accent1" w:sz="24" w:space="0"/>
      </w:tblBorders>
    </w:tblPr>
    <w:tcPr>
      <w:shd w:val="clear" w:color="auto" w:fill="156082"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color="E97132" w:themeColor="accent2" w:sz="24" w:space="0"/>
        <w:left w:val="single" w:color="E97132" w:themeColor="accent2" w:sz="24" w:space="0"/>
        <w:bottom w:val="single" w:color="E97132" w:themeColor="accent2" w:sz="24" w:space="0"/>
        <w:right w:val="single" w:color="E97132" w:themeColor="accent2" w:sz="24" w:space="0"/>
      </w:tblBorders>
    </w:tblPr>
    <w:tcPr>
      <w:shd w:val="clear" w:color="auto" w:fill="E97132"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color="196B24" w:themeColor="accent3" w:sz="24" w:space="0"/>
        <w:left w:val="single" w:color="196B24" w:themeColor="accent3" w:sz="24" w:space="0"/>
        <w:bottom w:val="single" w:color="196B24" w:themeColor="accent3" w:sz="24" w:space="0"/>
        <w:right w:val="single" w:color="196B24" w:themeColor="accent3" w:sz="24" w:space="0"/>
      </w:tblBorders>
    </w:tblPr>
    <w:tcPr>
      <w:shd w:val="clear" w:color="auto" w:fill="196B24"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color="0F9ED5" w:themeColor="accent4" w:sz="24" w:space="0"/>
        <w:left w:val="single" w:color="0F9ED5" w:themeColor="accent4" w:sz="24" w:space="0"/>
        <w:bottom w:val="single" w:color="0F9ED5" w:themeColor="accent4" w:sz="24" w:space="0"/>
        <w:right w:val="single" w:color="0F9ED5" w:themeColor="accent4" w:sz="24" w:space="0"/>
      </w:tblBorders>
    </w:tblPr>
    <w:tcPr>
      <w:shd w:val="clear" w:color="auto" w:fill="0F9ED5"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color="A02B93" w:themeColor="accent5" w:sz="24" w:space="0"/>
        <w:left w:val="single" w:color="A02B93" w:themeColor="accent5" w:sz="24" w:space="0"/>
        <w:bottom w:val="single" w:color="A02B93" w:themeColor="accent5" w:sz="24" w:space="0"/>
        <w:right w:val="single" w:color="A02B93" w:themeColor="accent5" w:sz="24" w:space="0"/>
      </w:tblBorders>
    </w:tblPr>
    <w:tcPr>
      <w:shd w:val="clear" w:color="auto" w:fill="A02B93"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color="4EA72E" w:themeColor="accent6" w:sz="24" w:space="0"/>
        <w:left w:val="single" w:color="4EA72E" w:themeColor="accent6" w:sz="24" w:space="0"/>
        <w:bottom w:val="single" w:color="4EA72E" w:themeColor="accent6" w:sz="24" w:space="0"/>
        <w:right w:val="single" w:color="4EA72E" w:themeColor="accent6" w:sz="24" w:space="0"/>
      </w:tblBorders>
    </w:tblPr>
    <w:tcPr>
      <w:shd w:val="clear" w:color="auto" w:fill="4EA72E"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color="156082" w:themeColor="accent1" w:sz="4" w:space="0"/>
        <w:bottom w:val="single" w:color="156082" w:themeColor="accent1" w:sz="4" w:space="0"/>
      </w:tblBorders>
    </w:tblPr>
    <w:tblStylePr w:type="firstRow">
      <w:rPr>
        <w:b/>
        <w:bCs/>
      </w:rPr>
      <w:tblPr/>
      <w:tcPr>
        <w:tcBorders>
          <w:bottom w:val="single" w:color="156082" w:themeColor="accent1" w:sz="4" w:space="0"/>
        </w:tcBorders>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color="E97132" w:themeColor="accent2" w:sz="4" w:space="0"/>
        <w:bottom w:val="single" w:color="E97132" w:themeColor="accent2" w:sz="4" w:space="0"/>
      </w:tblBorders>
    </w:tblPr>
    <w:tblStylePr w:type="firstRow">
      <w:rPr>
        <w:b/>
        <w:bCs/>
      </w:rPr>
      <w:tblPr/>
      <w:tcPr>
        <w:tcBorders>
          <w:bottom w:val="single" w:color="E97132" w:themeColor="accent2" w:sz="4" w:space="0"/>
        </w:tcBorders>
      </w:tcPr>
    </w:tblStylePr>
    <w:tblStylePr w:type="lastRow">
      <w:rPr>
        <w:b/>
        <w:bCs/>
      </w:rPr>
      <w:tblPr/>
      <w:tcPr>
        <w:tcBorders>
          <w:top w:val="double" w:color="E97132" w:themeColor="accent2"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color="196B24" w:themeColor="accent3" w:sz="4" w:space="0"/>
        <w:bottom w:val="single" w:color="196B24" w:themeColor="accent3" w:sz="4" w:space="0"/>
      </w:tblBorders>
    </w:tblPr>
    <w:tblStylePr w:type="firstRow">
      <w:rPr>
        <w:b/>
        <w:bCs/>
      </w:rPr>
      <w:tblPr/>
      <w:tcPr>
        <w:tcBorders>
          <w:bottom w:val="single" w:color="196B24" w:themeColor="accent3" w:sz="4" w:space="0"/>
        </w:tcBorders>
      </w:tcPr>
    </w:tblStylePr>
    <w:tblStylePr w:type="lastRow">
      <w:rPr>
        <w:b/>
        <w:bCs/>
      </w:rPr>
      <w:tblPr/>
      <w:tcPr>
        <w:tcBorders>
          <w:top w:val="double" w:color="196B24" w:themeColor="accent3"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color="0F9ED5" w:themeColor="accent4" w:sz="4" w:space="0"/>
        <w:bottom w:val="single" w:color="0F9ED5" w:themeColor="accent4" w:sz="4" w:space="0"/>
      </w:tblBorders>
    </w:tblPr>
    <w:tblStylePr w:type="firstRow">
      <w:rPr>
        <w:b/>
        <w:bCs/>
      </w:rPr>
      <w:tblPr/>
      <w:tcPr>
        <w:tcBorders>
          <w:bottom w:val="single" w:color="0F9ED5" w:themeColor="accent4" w:sz="4" w:space="0"/>
        </w:tcBorders>
      </w:tcPr>
    </w:tblStylePr>
    <w:tblStylePr w:type="lastRow">
      <w:rPr>
        <w:b/>
        <w:bCs/>
      </w:rPr>
      <w:tblPr/>
      <w:tcPr>
        <w:tcBorders>
          <w:top w:val="double" w:color="0F9ED5" w:themeColor="accent4"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color="A02B93" w:themeColor="accent5" w:sz="4" w:space="0"/>
        <w:bottom w:val="single" w:color="A02B93" w:themeColor="accent5" w:sz="4" w:space="0"/>
      </w:tblBorders>
    </w:tblPr>
    <w:tblStylePr w:type="firstRow">
      <w:rPr>
        <w:b/>
        <w:bCs/>
      </w:rPr>
      <w:tblPr/>
      <w:tcPr>
        <w:tcBorders>
          <w:bottom w:val="single" w:color="A02B93" w:themeColor="accent5" w:sz="4" w:space="0"/>
        </w:tcBorders>
      </w:tcPr>
    </w:tblStylePr>
    <w:tblStylePr w:type="lastRow">
      <w:rPr>
        <w:b/>
        <w:bCs/>
      </w:rPr>
      <w:tblPr/>
      <w:tcPr>
        <w:tcBorders>
          <w:top w:val="double" w:color="A02B93" w:themeColor="accent5"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color="4EA72E" w:themeColor="accent6" w:sz="4" w:space="0"/>
        <w:bottom w:val="single" w:color="4EA72E" w:themeColor="accent6" w:sz="4" w:space="0"/>
      </w:tblBorders>
    </w:tblPr>
    <w:tblStylePr w:type="firstRow">
      <w:rPr>
        <w:b/>
        <w:bCs/>
      </w:rPr>
      <w:tblPr/>
      <w:tcPr>
        <w:tcBorders>
          <w:bottom w:val="single" w:color="4EA72E" w:themeColor="accent6" w:sz="4" w:space="0"/>
        </w:tcBorders>
      </w:tcPr>
    </w:tblStylePr>
    <w:tblStylePr w:type="lastRow">
      <w:rPr>
        <w:b/>
        <w:bCs/>
      </w:rPr>
      <w:tblPr/>
      <w:tcPr>
        <w:tcBorders>
          <w:top w:val="double" w:color="4EA72E" w:themeColor="accent6"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156082"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156082"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156082"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156082" w:themeColor="accent1" w:sz="4" w:space="0"/>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97132"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97132"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97132"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97132" w:themeColor="accent2" w:sz="4" w:space="0"/>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196B24"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196B24"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196B24"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196B24" w:themeColor="accent3" w:sz="4" w:space="0"/>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F9ED5"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F9ED5"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F9ED5"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F9ED5" w:themeColor="accent4" w:sz="4" w:space="0"/>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02B93"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02B93"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02B93"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02B93" w:themeColor="accent5" w:sz="4" w:space="0"/>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EA72E"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EA72E"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EA72E"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EA72E" w:themeColor="accent6" w:sz="4" w:space="0"/>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color="2198CF" w:themeColor="accent1" w:themeTint="BF" w:sz="8" w:space="0"/>
        <w:left w:val="single" w:color="2198CF" w:themeColor="accent1" w:themeTint="BF" w:sz="8" w:space="0"/>
        <w:bottom w:val="single" w:color="2198CF" w:themeColor="accent1" w:themeTint="BF" w:sz="8" w:space="0"/>
        <w:right w:val="single" w:color="2198CF" w:themeColor="accent1" w:themeTint="BF" w:sz="8" w:space="0"/>
        <w:insideH w:val="single" w:color="2198CF" w:themeColor="accent1" w:themeTint="BF" w:sz="8" w:space="0"/>
        <w:insideV w:val="single" w:color="2198CF" w:themeColor="accent1" w:themeTint="BF" w:sz="8" w:space="0"/>
      </w:tblBorders>
    </w:tblPr>
    <w:tcPr>
      <w:shd w:val="clear" w:color="auto" w:fill="B2DEF2" w:themeFill="accent1" w:themeFillTint="3F"/>
    </w:tcPr>
    <w:tblStylePr w:type="firstRow">
      <w:rPr>
        <w:b/>
        <w:bCs/>
      </w:rPr>
    </w:tblStylePr>
    <w:tblStylePr w:type="lastRow">
      <w:rPr>
        <w:b/>
        <w:bCs/>
      </w:rPr>
      <w:tblPr/>
      <w:tcPr>
        <w:tcBorders>
          <w:top w:val="single" w:color="2198CF" w:themeColor="accent1" w:themeTint="BF" w:sz="18" w:space="0"/>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color="EE9465" w:themeColor="accent2" w:themeTint="BF" w:sz="8" w:space="0"/>
        <w:left w:val="single" w:color="EE9465" w:themeColor="accent2" w:themeTint="BF" w:sz="8" w:space="0"/>
        <w:bottom w:val="single" w:color="EE9465" w:themeColor="accent2" w:themeTint="BF" w:sz="8" w:space="0"/>
        <w:right w:val="single" w:color="EE9465" w:themeColor="accent2" w:themeTint="BF" w:sz="8" w:space="0"/>
        <w:insideH w:val="single" w:color="EE9465" w:themeColor="accent2" w:themeTint="BF" w:sz="8" w:space="0"/>
        <w:insideV w:val="single" w:color="EE9465" w:themeColor="accent2" w:themeTint="BF" w:sz="8" w:space="0"/>
      </w:tblBorders>
    </w:tblPr>
    <w:tcPr>
      <w:shd w:val="clear" w:color="auto" w:fill="F9DBCC" w:themeFill="accent2" w:themeFillTint="3F"/>
    </w:tcPr>
    <w:tblStylePr w:type="firstRow">
      <w:rPr>
        <w:b/>
        <w:bCs/>
      </w:rPr>
    </w:tblStylePr>
    <w:tblStylePr w:type="lastRow">
      <w:rPr>
        <w:b/>
        <w:bCs/>
      </w:rPr>
      <w:tblPr/>
      <w:tcPr>
        <w:tcBorders>
          <w:top w:val="single" w:color="EE9465" w:themeColor="accent2" w:themeTint="BF" w:sz="18" w:space="0"/>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color="2BB73D" w:themeColor="accent3" w:themeTint="BF" w:sz="8" w:space="0"/>
        <w:left w:val="single" w:color="2BB73D" w:themeColor="accent3" w:themeTint="BF" w:sz="8" w:space="0"/>
        <w:bottom w:val="single" w:color="2BB73D" w:themeColor="accent3" w:themeTint="BF" w:sz="8" w:space="0"/>
        <w:right w:val="single" w:color="2BB73D" w:themeColor="accent3" w:themeTint="BF" w:sz="8" w:space="0"/>
        <w:insideH w:val="single" w:color="2BB73D" w:themeColor="accent3" w:themeTint="BF" w:sz="8" w:space="0"/>
        <w:insideV w:val="single" w:color="2BB73D" w:themeColor="accent3" w:themeTint="BF" w:sz="8" w:space="0"/>
      </w:tblBorders>
    </w:tblPr>
    <w:tcPr>
      <w:shd w:val="clear" w:color="auto" w:fill="B3EDBA" w:themeFill="accent3" w:themeFillTint="3F"/>
    </w:tcPr>
    <w:tblStylePr w:type="firstRow">
      <w:rPr>
        <w:b/>
        <w:bCs/>
      </w:rPr>
    </w:tblStylePr>
    <w:tblStylePr w:type="lastRow">
      <w:rPr>
        <w:b/>
        <w:bCs/>
      </w:rPr>
      <w:tblPr/>
      <w:tcPr>
        <w:tcBorders>
          <w:top w:val="single" w:color="2BB73D" w:themeColor="accent3" w:themeTint="BF" w:sz="18" w:space="0"/>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color="39BEF1" w:themeColor="accent4" w:themeTint="BF" w:sz="8" w:space="0"/>
        <w:left w:val="single" w:color="39BEF1" w:themeColor="accent4" w:themeTint="BF" w:sz="8" w:space="0"/>
        <w:bottom w:val="single" w:color="39BEF1" w:themeColor="accent4" w:themeTint="BF" w:sz="8" w:space="0"/>
        <w:right w:val="single" w:color="39BEF1" w:themeColor="accent4" w:themeTint="BF" w:sz="8" w:space="0"/>
        <w:insideH w:val="single" w:color="39BEF1" w:themeColor="accent4" w:themeTint="BF" w:sz="8" w:space="0"/>
        <w:insideV w:val="single" w:color="39BEF1" w:themeColor="accent4" w:themeTint="BF" w:sz="8" w:space="0"/>
      </w:tblBorders>
    </w:tblPr>
    <w:tcPr>
      <w:shd w:val="clear" w:color="auto" w:fill="BDE9FA" w:themeFill="accent4" w:themeFillTint="3F"/>
    </w:tcPr>
    <w:tblStylePr w:type="firstRow">
      <w:rPr>
        <w:b/>
        <w:bCs/>
      </w:rPr>
    </w:tblStylePr>
    <w:tblStylePr w:type="lastRow">
      <w:rPr>
        <w:b/>
        <w:bCs/>
      </w:rPr>
      <w:tblPr/>
      <w:tcPr>
        <w:tcBorders>
          <w:top w:val="single" w:color="39BEF1" w:themeColor="accent4" w:themeTint="BF" w:sz="18" w:space="0"/>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color="CE49BF" w:themeColor="accent5" w:themeTint="BF" w:sz="8" w:space="0"/>
        <w:left w:val="single" w:color="CE49BF" w:themeColor="accent5" w:themeTint="BF" w:sz="8" w:space="0"/>
        <w:bottom w:val="single" w:color="CE49BF" w:themeColor="accent5" w:themeTint="BF" w:sz="8" w:space="0"/>
        <w:right w:val="single" w:color="CE49BF" w:themeColor="accent5" w:themeTint="BF" w:sz="8" w:space="0"/>
        <w:insideH w:val="single" w:color="CE49BF" w:themeColor="accent5" w:themeTint="BF" w:sz="8" w:space="0"/>
        <w:insideV w:val="single" w:color="CE49BF" w:themeColor="accent5" w:themeTint="BF" w:sz="8" w:space="0"/>
      </w:tblBorders>
    </w:tblPr>
    <w:tcPr>
      <w:shd w:val="clear" w:color="auto" w:fill="EFC3E9" w:themeFill="accent5" w:themeFillTint="3F"/>
    </w:tcPr>
    <w:tblStylePr w:type="firstRow">
      <w:rPr>
        <w:b/>
        <w:bCs/>
      </w:rPr>
    </w:tblStylePr>
    <w:tblStylePr w:type="lastRow">
      <w:rPr>
        <w:b/>
        <w:bCs/>
      </w:rPr>
      <w:tblPr/>
      <w:tcPr>
        <w:tcBorders>
          <w:top w:val="single" w:color="CE49BF" w:themeColor="accent5" w:themeTint="BF" w:sz="18" w:space="0"/>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color="71CF50" w:themeColor="accent6" w:themeTint="BF" w:sz="8" w:space="0"/>
        <w:left w:val="single" w:color="71CF50" w:themeColor="accent6" w:themeTint="BF" w:sz="8" w:space="0"/>
        <w:bottom w:val="single" w:color="71CF50" w:themeColor="accent6" w:themeTint="BF" w:sz="8" w:space="0"/>
        <w:right w:val="single" w:color="71CF50" w:themeColor="accent6" w:themeTint="BF" w:sz="8" w:space="0"/>
        <w:insideH w:val="single" w:color="71CF50" w:themeColor="accent6" w:themeTint="BF" w:sz="8" w:space="0"/>
        <w:insideV w:val="single" w:color="71CF50" w:themeColor="accent6" w:themeTint="BF" w:sz="8" w:space="0"/>
      </w:tblBorders>
    </w:tblPr>
    <w:tcPr>
      <w:shd w:val="clear" w:color="auto" w:fill="D0EFC5" w:themeFill="accent6" w:themeFillTint="3F"/>
    </w:tcPr>
    <w:tblStylePr w:type="firstRow">
      <w:rPr>
        <w:b/>
        <w:bCs/>
      </w:rPr>
    </w:tblStylePr>
    <w:tblStylePr w:type="lastRow">
      <w:rPr>
        <w:b/>
        <w:bCs/>
      </w:rPr>
      <w:tblPr/>
      <w:tcPr>
        <w:tcBorders>
          <w:top w:val="single" w:color="71CF50" w:themeColor="accent6" w:themeTint="BF" w:sz="18" w:space="0"/>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insideH w:val="single" w:color="156082" w:themeColor="accent1" w:sz="8" w:space="0"/>
        <w:insideV w:val="single" w:color="156082" w:themeColor="accent1" w:sz="8" w:space="0"/>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color="156082" w:themeColor="accent1" w:sz="6" w:space="0"/>
          <w:insideV w:val="single" w:color="156082" w:themeColor="accent1" w:sz="6" w:space="0"/>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insideH w:val="single" w:color="E97132" w:themeColor="accent2" w:sz="8" w:space="0"/>
        <w:insideV w:val="single" w:color="E97132" w:themeColor="accent2" w:sz="8" w:space="0"/>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color="E97132" w:themeColor="accent2" w:sz="6" w:space="0"/>
          <w:insideV w:val="single" w:color="E97132" w:themeColor="accent2" w:sz="6" w:space="0"/>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insideH w:val="single" w:color="196B24" w:themeColor="accent3" w:sz="8" w:space="0"/>
        <w:insideV w:val="single" w:color="196B24" w:themeColor="accent3" w:sz="8" w:space="0"/>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color="196B24" w:themeColor="accent3" w:sz="6" w:space="0"/>
          <w:insideV w:val="single" w:color="196B24" w:themeColor="accent3" w:sz="6" w:space="0"/>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insideH w:val="single" w:color="0F9ED5" w:themeColor="accent4" w:sz="8" w:space="0"/>
        <w:insideV w:val="single" w:color="0F9ED5" w:themeColor="accent4" w:sz="8" w:space="0"/>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color="0F9ED5" w:themeColor="accent4" w:sz="6" w:space="0"/>
          <w:insideV w:val="single" w:color="0F9ED5" w:themeColor="accent4" w:sz="6" w:space="0"/>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insideH w:val="single" w:color="A02B93" w:themeColor="accent5" w:sz="8" w:space="0"/>
        <w:insideV w:val="single" w:color="A02B93" w:themeColor="accent5" w:sz="8" w:space="0"/>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color="A02B93" w:themeColor="accent5" w:sz="6" w:space="0"/>
          <w:insideV w:val="single" w:color="A02B93" w:themeColor="accent5" w:sz="6" w:space="0"/>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insideH w:val="single" w:color="4EA72E" w:themeColor="accent6" w:sz="8" w:space="0"/>
        <w:insideV w:val="single" w:color="4EA72E" w:themeColor="accent6" w:sz="8" w:space="0"/>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color="4EA72E" w:themeColor="accent6" w:sz="6" w:space="0"/>
          <w:insideV w:val="single" w:color="4EA72E" w:themeColor="accent6" w:sz="6" w:space="0"/>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2DEF2"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156082"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156082"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156082"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156082"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4BDE6"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9DBCC"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97132"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97132"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97132"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97132"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4B7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3EDBA"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196B24"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196B24"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196B24"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196B24"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6DB75"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DE9FA"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F9ED5"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F9ED5"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F9ED5"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F9ED5"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BD3F5"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C3E9"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02B93"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02B93"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02B93"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02B93"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E86D4"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0EFC5"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EA72E"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EA72E"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EA72E"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EA72E"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0DF8A"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E2841"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color="156082" w:themeColor="accent1" w:sz="8" w:space="0"/>
        <w:bottom w:val="single" w:color="156082" w:themeColor="accent1" w:sz="8" w:space="0"/>
      </w:tblBorders>
    </w:tblPr>
    <w:tblStylePr w:type="firstRow">
      <w:rPr>
        <w:rFonts w:asciiTheme="majorHAnsi" w:hAnsiTheme="majorHAnsi" w:eastAsiaTheme="majorEastAsia" w:cstheme="majorBidi"/>
      </w:rPr>
      <w:tblPr/>
      <w:tcPr>
        <w:tcBorders>
          <w:top w:val="nil"/>
          <w:bottom w:val="single" w:color="156082" w:themeColor="accent1" w:sz="8" w:space="0"/>
        </w:tcBorders>
      </w:tcPr>
    </w:tblStylePr>
    <w:tblStylePr w:type="lastRow">
      <w:rPr>
        <w:b/>
        <w:bCs/>
        <w:color w:val="0E2841" w:themeColor="text2"/>
      </w:rPr>
      <w:tblPr/>
      <w:tcPr>
        <w:tcBorders>
          <w:top w:val="single" w:color="156082" w:themeColor="accent1" w:sz="8" w:space="0"/>
          <w:bottom w:val="single" w:color="156082" w:themeColor="accent1" w:sz="8" w:space="0"/>
        </w:tcBorders>
      </w:tcPr>
    </w:tblStylePr>
    <w:tblStylePr w:type="firstCol">
      <w:rPr>
        <w:b/>
        <w:bCs/>
      </w:rPr>
    </w:tblStylePr>
    <w:tblStylePr w:type="lastCol">
      <w:rPr>
        <w:b/>
        <w:bCs/>
      </w:rPr>
      <w:tblPr/>
      <w:tcPr>
        <w:tcBorders>
          <w:top w:val="single" w:color="156082" w:themeColor="accent1" w:sz="8" w:space="0"/>
          <w:bottom w:val="single" w:color="156082" w:themeColor="accent1" w:sz="8" w:space="0"/>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color="E97132" w:themeColor="accent2" w:sz="8" w:space="0"/>
        <w:bottom w:val="single" w:color="E97132" w:themeColor="accent2" w:sz="8" w:space="0"/>
      </w:tblBorders>
    </w:tblPr>
    <w:tblStylePr w:type="firstRow">
      <w:rPr>
        <w:rFonts w:asciiTheme="majorHAnsi" w:hAnsiTheme="majorHAnsi" w:eastAsiaTheme="majorEastAsia" w:cstheme="majorBidi"/>
      </w:rPr>
      <w:tblPr/>
      <w:tcPr>
        <w:tcBorders>
          <w:top w:val="nil"/>
          <w:bottom w:val="single" w:color="E97132" w:themeColor="accent2" w:sz="8" w:space="0"/>
        </w:tcBorders>
      </w:tcPr>
    </w:tblStylePr>
    <w:tblStylePr w:type="lastRow">
      <w:rPr>
        <w:b/>
        <w:bCs/>
        <w:color w:val="0E2841" w:themeColor="text2"/>
      </w:rPr>
      <w:tblPr/>
      <w:tcPr>
        <w:tcBorders>
          <w:top w:val="single" w:color="E97132" w:themeColor="accent2" w:sz="8" w:space="0"/>
          <w:bottom w:val="single" w:color="E97132" w:themeColor="accent2" w:sz="8" w:space="0"/>
        </w:tcBorders>
      </w:tcPr>
    </w:tblStylePr>
    <w:tblStylePr w:type="firstCol">
      <w:rPr>
        <w:b/>
        <w:bCs/>
      </w:rPr>
    </w:tblStylePr>
    <w:tblStylePr w:type="lastCol">
      <w:rPr>
        <w:b/>
        <w:bCs/>
      </w:rPr>
      <w:tblPr/>
      <w:tcPr>
        <w:tcBorders>
          <w:top w:val="single" w:color="E97132" w:themeColor="accent2" w:sz="8" w:space="0"/>
          <w:bottom w:val="single" w:color="E97132" w:themeColor="accent2" w:sz="8" w:space="0"/>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color="196B24" w:themeColor="accent3" w:sz="8" w:space="0"/>
        <w:bottom w:val="single" w:color="196B24" w:themeColor="accent3" w:sz="8" w:space="0"/>
      </w:tblBorders>
    </w:tblPr>
    <w:tblStylePr w:type="firstRow">
      <w:rPr>
        <w:rFonts w:asciiTheme="majorHAnsi" w:hAnsiTheme="majorHAnsi" w:eastAsiaTheme="majorEastAsia" w:cstheme="majorBidi"/>
      </w:rPr>
      <w:tblPr/>
      <w:tcPr>
        <w:tcBorders>
          <w:top w:val="nil"/>
          <w:bottom w:val="single" w:color="196B24" w:themeColor="accent3" w:sz="8" w:space="0"/>
        </w:tcBorders>
      </w:tcPr>
    </w:tblStylePr>
    <w:tblStylePr w:type="lastRow">
      <w:rPr>
        <w:b/>
        <w:bCs/>
        <w:color w:val="0E2841" w:themeColor="text2"/>
      </w:rPr>
      <w:tblPr/>
      <w:tcPr>
        <w:tcBorders>
          <w:top w:val="single" w:color="196B24" w:themeColor="accent3" w:sz="8" w:space="0"/>
          <w:bottom w:val="single" w:color="196B24" w:themeColor="accent3" w:sz="8" w:space="0"/>
        </w:tcBorders>
      </w:tcPr>
    </w:tblStylePr>
    <w:tblStylePr w:type="firstCol">
      <w:rPr>
        <w:b/>
        <w:bCs/>
      </w:rPr>
    </w:tblStylePr>
    <w:tblStylePr w:type="lastCol">
      <w:rPr>
        <w:b/>
        <w:bCs/>
      </w:rPr>
      <w:tblPr/>
      <w:tcPr>
        <w:tcBorders>
          <w:top w:val="single" w:color="196B24" w:themeColor="accent3" w:sz="8" w:space="0"/>
          <w:bottom w:val="single" w:color="196B24" w:themeColor="accent3" w:sz="8" w:space="0"/>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color="0F9ED5" w:themeColor="accent4" w:sz="8" w:space="0"/>
        <w:bottom w:val="single" w:color="0F9ED5" w:themeColor="accent4" w:sz="8" w:space="0"/>
      </w:tblBorders>
    </w:tblPr>
    <w:tblStylePr w:type="firstRow">
      <w:rPr>
        <w:rFonts w:asciiTheme="majorHAnsi" w:hAnsiTheme="majorHAnsi" w:eastAsiaTheme="majorEastAsia" w:cstheme="majorBidi"/>
      </w:rPr>
      <w:tblPr/>
      <w:tcPr>
        <w:tcBorders>
          <w:top w:val="nil"/>
          <w:bottom w:val="single" w:color="0F9ED5" w:themeColor="accent4" w:sz="8" w:space="0"/>
        </w:tcBorders>
      </w:tcPr>
    </w:tblStylePr>
    <w:tblStylePr w:type="lastRow">
      <w:rPr>
        <w:b/>
        <w:bCs/>
        <w:color w:val="0E2841" w:themeColor="text2"/>
      </w:rPr>
      <w:tblPr/>
      <w:tcPr>
        <w:tcBorders>
          <w:top w:val="single" w:color="0F9ED5" w:themeColor="accent4" w:sz="8" w:space="0"/>
          <w:bottom w:val="single" w:color="0F9ED5" w:themeColor="accent4" w:sz="8" w:space="0"/>
        </w:tcBorders>
      </w:tcPr>
    </w:tblStylePr>
    <w:tblStylePr w:type="firstCol">
      <w:rPr>
        <w:b/>
        <w:bCs/>
      </w:rPr>
    </w:tblStylePr>
    <w:tblStylePr w:type="lastCol">
      <w:rPr>
        <w:b/>
        <w:bCs/>
      </w:rPr>
      <w:tblPr/>
      <w:tcPr>
        <w:tcBorders>
          <w:top w:val="single" w:color="0F9ED5" w:themeColor="accent4" w:sz="8" w:space="0"/>
          <w:bottom w:val="single" w:color="0F9ED5" w:themeColor="accent4" w:sz="8" w:space="0"/>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color="A02B93" w:themeColor="accent5" w:sz="8" w:space="0"/>
        <w:bottom w:val="single" w:color="A02B93" w:themeColor="accent5" w:sz="8" w:space="0"/>
      </w:tblBorders>
    </w:tblPr>
    <w:tblStylePr w:type="firstRow">
      <w:rPr>
        <w:rFonts w:asciiTheme="majorHAnsi" w:hAnsiTheme="majorHAnsi" w:eastAsiaTheme="majorEastAsia" w:cstheme="majorBidi"/>
      </w:rPr>
      <w:tblPr/>
      <w:tcPr>
        <w:tcBorders>
          <w:top w:val="nil"/>
          <w:bottom w:val="single" w:color="A02B93" w:themeColor="accent5" w:sz="8" w:space="0"/>
        </w:tcBorders>
      </w:tcPr>
    </w:tblStylePr>
    <w:tblStylePr w:type="lastRow">
      <w:rPr>
        <w:b/>
        <w:bCs/>
        <w:color w:val="0E2841" w:themeColor="text2"/>
      </w:rPr>
      <w:tblPr/>
      <w:tcPr>
        <w:tcBorders>
          <w:top w:val="single" w:color="A02B93" w:themeColor="accent5" w:sz="8" w:space="0"/>
          <w:bottom w:val="single" w:color="A02B93" w:themeColor="accent5" w:sz="8" w:space="0"/>
        </w:tcBorders>
      </w:tcPr>
    </w:tblStylePr>
    <w:tblStylePr w:type="firstCol">
      <w:rPr>
        <w:b/>
        <w:bCs/>
      </w:rPr>
    </w:tblStylePr>
    <w:tblStylePr w:type="lastCol">
      <w:rPr>
        <w:b/>
        <w:bCs/>
      </w:rPr>
      <w:tblPr/>
      <w:tcPr>
        <w:tcBorders>
          <w:top w:val="single" w:color="A02B93" w:themeColor="accent5" w:sz="8" w:space="0"/>
          <w:bottom w:val="single" w:color="A02B93" w:themeColor="accent5" w:sz="8" w:space="0"/>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color="4EA72E" w:themeColor="accent6" w:sz="8" w:space="0"/>
        <w:bottom w:val="single" w:color="4EA72E" w:themeColor="accent6" w:sz="8" w:space="0"/>
      </w:tblBorders>
    </w:tblPr>
    <w:tblStylePr w:type="firstRow">
      <w:rPr>
        <w:rFonts w:asciiTheme="majorHAnsi" w:hAnsiTheme="majorHAnsi" w:eastAsiaTheme="majorEastAsia" w:cstheme="majorBidi"/>
      </w:rPr>
      <w:tblPr/>
      <w:tcPr>
        <w:tcBorders>
          <w:top w:val="nil"/>
          <w:bottom w:val="single" w:color="4EA72E" w:themeColor="accent6" w:sz="8" w:space="0"/>
        </w:tcBorders>
      </w:tcPr>
    </w:tblStylePr>
    <w:tblStylePr w:type="lastRow">
      <w:rPr>
        <w:b/>
        <w:bCs/>
        <w:color w:val="0E2841" w:themeColor="text2"/>
      </w:rPr>
      <w:tblPr/>
      <w:tcPr>
        <w:tcBorders>
          <w:top w:val="single" w:color="4EA72E" w:themeColor="accent6" w:sz="8" w:space="0"/>
          <w:bottom w:val="single" w:color="4EA72E" w:themeColor="accent6" w:sz="8" w:space="0"/>
        </w:tcBorders>
      </w:tcPr>
    </w:tblStylePr>
    <w:tblStylePr w:type="firstCol">
      <w:rPr>
        <w:b/>
        <w:bCs/>
      </w:rPr>
    </w:tblStylePr>
    <w:tblStylePr w:type="lastCol">
      <w:rPr>
        <w:b/>
        <w:bCs/>
      </w:rPr>
      <w:tblPr/>
      <w:tcPr>
        <w:tcBorders>
          <w:top w:val="single" w:color="4EA72E" w:themeColor="accent6" w:sz="8" w:space="0"/>
          <w:bottom w:val="single" w:color="4EA72E" w:themeColor="accent6" w:sz="8" w:space="0"/>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tblBorders>
    </w:tblPr>
    <w:tblStylePr w:type="firstRow">
      <w:rPr>
        <w:sz w:val="24"/>
        <w:szCs w:val="24"/>
      </w:rPr>
      <w:tblPr/>
      <w:tcPr>
        <w:tcBorders>
          <w:top w:val="nil"/>
          <w:left w:val="nil"/>
          <w:bottom w:val="single" w:color="156082" w:themeColor="accent1" w:sz="24" w:space="0"/>
          <w:right w:val="nil"/>
          <w:insideH w:val="nil"/>
          <w:insideV w:val="nil"/>
        </w:tcBorders>
        <w:shd w:val="clear" w:color="auto" w:fill="FFFFFF" w:themeFill="background1"/>
      </w:tcPr>
    </w:tblStylePr>
    <w:tblStylePr w:type="lastRow">
      <w:tblPr/>
      <w:tcPr>
        <w:tcBorders>
          <w:top w:val="single" w:color="156082"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156082" w:themeColor="accent1" w:sz="8" w:space="0"/>
          <w:insideH w:val="nil"/>
          <w:insideV w:val="nil"/>
        </w:tcBorders>
        <w:shd w:val="clear" w:color="auto" w:fill="FFFFFF" w:themeFill="background1"/>
      </w:tcPr>
    </w:tblStylePr>
    <w:tblStylePr w:type="lastCol">
      <w:tblPr/>
      <w:tcPr>
        <w:tcBorders>
          <w:top w:val="nil"/>
          <w:left w:val="single" w:color="156082"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tblBorders>
    </w:tblPr>
    <w:tblStylePr w:type="firstRow">
      <w:rPr>
        <w:sz w:val="24"/>
        <w:szCs w:val="24"/>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tblPr/>
      <w:tcPr>
        <w:tcBorders>
          <w:top w:val="single" w:color="E97132"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E97132" w:themeColor="accent2" w:sz="8" w:space="0"/>
          <w:insideH w:val="nil"/>
          <w:insideV w:val="nil"/>
        </w:tcBorders>
        <w:shd w:val="clear" w:color="auto" w:fill="FFFFFF" w:themeFill="background1"/>
      </w:tcPr>
    </w:tblStylePr>
    <w:tblStylePr w:type="lastCol">
      <w:tblPr/>
      <w:tcPr>
        <w:tcBorders>
          <w:top w:val="nil"/>
          <w:left w:val="single" w:color="E97132"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tblBorders>
    </w:tblPr>
    <w:tblStylePr w:type="firstRow">
      <w:rPr>
        <w:sz w:val="24"/>
        <w:szCs w:val="24"/>
      </w:rPr>
      <w:tblPr/>
      <w:tcPr>
        <w:tcBorders>
          <w:top w:val="nil"/>
          <w:left w:val="nil"/>
          <w:bottom w:val="single" w:color="196B24" w:themeColor="accent3" w:sz="24" w:space="0"/>
          <w:right w:val="nil"/>
          <w:insideH w:val="nil"/>
          <w:insideV w:val="nil"/>
        </w:tcBorders>
        <w:shd w:val="clear" w:color="auto" w:fill="FFFFFF" w:themeFill="background1"/>
      </w:tcPr>
    </w:tblStylePr>
    <w:tblStylePr w:type="lastRow">
      <w:tblPr/>
      <w:tcPr>
        <w:tcBorders>
          <w:top w:val="single" w:color="196B24"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196B24" w:themeColor="accent3" w:sz="8" w:space="0"/>
          <w:insideH w:val="nil"/>
          <w:insideV w:val="nil"/>
        </w:tcBorders>
        <w:shd w:val="clear" w:color="auto" w:fill="FFFFFF" w:themeFill="background1"/>
      </w:tcPr>
    </w:tblStylePr>
    <w:tblStylePr w:type="lastCol">
      <w:tblPr/>
      <w:tcPr>
        <w:tcBorders>
          <w:top w:val="nil"/>
          <w:left w:val="single" w:color="196B24"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tblBorders>
    </w:tblPr>
    <w:tblStylePr w:type="firstRow">
      <w:rPr>
        <w:sz w:val="24"/>
        <w:szCs w:val="24"/>
      </w:rPr>
      <w:tblPr/>
      <w:tcPr>
        <w:tcBorders>
          <w:top w:val="nil"/>
          <w:left w:val="nil"/>
          <w:bottom w:val="single" w:color="0F9ED5" w:themeColor="accent4" w:sz="24" w:space="0"/>
          <w:right w:val="nil"/>
          <w:insideH w:val="nil"/>
          <w:insideV w:val="nil"/>
        </w:tcBorders>
        <w:shd w:val="clear" w:color="auto" w:fill="FFFFFF" w:themeFill="background1"/>
      </w:tcPr>
    </w:tblStylePr>
    <w:tblStylePr w:type="lastRow">
      <w:tblPr/>
      <w:tcPr>
        <w:tcBorders>
          <w:top w:val="single" w:color="0F9ED5"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F9ED5" w:themeColor="accent4" w:sz="8" w:space="0"/>
          <w:insideH w:val="nil"/>
          <w:insideV w:val="nil"/>
        </w:tcBorders>
        <w:shd w:val="clear" w:color="auto" w:fill="FFFFFF" w:themeFill="background1"/>
      </w:tcPr>
    </w:tblStylePr>
    <w:tblStylePr w:type="lastCol">
      <w:tblPr/>
      <w:tcPr>
        <w:tcBorders>
          <w:top w:val="nil"/>
          <w:left w:val="single" w:color="0F9ED5"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tblBorders>
    </w:tblPr>
    <w:tblStylePr w:type="firstRow">
      <w:rPr>
        <w:sz w:val="24"/>
        <w:szCs w:val="24"/>
      </w:rPr>
      <w:tblPr/>
      <w:tcPr>
        <w:tcBorders>
          <w:top w:val="nil"/>
          <w:left w:val="nil"/>
          <w:bottom w:val="single" w:color="A02B93" w:themeColor="accent5" w:sz="24" w:space="0"/>
          <w:right w:val="nil"/>
          <w:insideH w:val="nil"/>
          <w:insideV w:val="nil"/>
        </w:tcBorders>
        <w:shd w:val="clear" w:color="auto" w:fill="FFFFFF" w:themeFill="background1"/>
      </w:tcPr>
    </w:tblStylePr>
    <w:tblStylePr w:type="lastRow">
      <w:tblPr/>
      <w:tcPr>
        <w:tcBorders>
          <w:top w:val="single" w:color="A02B93"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02B93" w:themeColor="accent5" w:sz="8" w:space="0"/>
          <w:insideH w:val="nil"/>
          <w:insideV w:val="nil"/>
        </w:tcBorders>
        <w:shd w:val="clear" w:color="auto" w:fill="FFFFFF" w:themeFill="background1"/>
      </w:tcPr>
    </w:tblStylePr>
    <w:tblStylePr w:type="lastCol">
      <w:tblPr/>
      <w:tcPr>
        <w:tcBorders>
          <w:top w:val="nil"/>
          <w:left w:val="single" w:color="A02B93"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tblBorders>
    </w:tblPr>
    <w:tblStylePr w:type="firstRow">
      <w:rPr>
        <w:sz w:val="24"/>
        <w:szCs w:val="24"/>
      </w:rPr>
      <w:tblPr/>
      <w:tcPr>
        <w:tcBorders>
          <w:top w:val="nil"/>
          <w:left w:val="nil"/>
          <w:bottom w:val="single" w:color="4EA72E" w:themeColor="accent6" w:sz="24" w:space="0"/>
          <w:right w:val="nil"/>
          <w:insideH w:val="nil"/>
          <w:insideV w:val="nil"/>
        </w:tcBorders>
        <w:shd w:val="clear" w:color="auto" w:fill="FFFFFF" w:themeFill="background1"/>
      </w:tcPr>
    </w:tblStylePr>
    <w:tblStylePr w:type="lastRow">
      <w:tblPr/>
      <w:tcPr>
        <w:tcBorders>
          <w:top w:val="single" w:color="4EA72E"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EA72E" w:themeColor="accent6" w:sz="8" w:space="0"/>
          <w:insideH w:val="nil"/>
          <w:insideV w:val="nil"/>
        </w:tcBorders>
        <w:shd w:val="clear" w:color="auto" w:fill="FFFFFF" w:themeFill="background1"/>
      </w:tcPr>
    </w:tblStylePr>
    <w:tblStylePr w:type="lastCol">
      <w:tblPr/>
      <w:tcPr>
        <w:tcBorders>
          <w:top w:val="nil"/>
          <w:left w:val="single" w:color="4EA72E"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color="2198CF" w:themeColor="accent1" w:themeTint="BF" w:sz="8" w:space="0"/>
        <w:left w:val="single" w:color="2198CF" w:themeColor="accent1" w:themeTint="BF" w:sz="8" w:space="0"/>
        <w:bottom w:val="single" w:color="2198CF" w:themeColor="accent1" w:themeTint="BF" w:sz="8" w:space="0"/>
        <w:right w:val="single" w:color="2198CF" w:themeColor="accent1" w:themeTint="BF" w:sz="8" w:space="0"/>
        <w:insideH w:val="single" w:color="2198CF" w:themeColor="accent1" w:themeTint="BF" w:sz="8" w:space="0"/>
      </w:tblBorders>
    </w:tblPr>
    <w:tblStylePr w:type="firstRow">
      <w:pPr>
        <w:spacing w:before="0" w:after="0" w:line="240" w:lineRule="auto"/>
      </w:pPr>
      <w:rPr>
        <w:b/>
        <w:bCs/>
        <w:color w:val="FFFFFF" w:themeColor="background1"/>
      </w:rPr>
      <w:tblPr/>
      <w:tcPr>
        <w:tcBorders>
          <w:top w:val="single" w:color="2198CF" w:themeColor="accent1" w:themeTint="BF" w:sz="8" w:space="0"/>
          <w:left w:val="single" w:color="2198CF" w:themeColor="accent1" w:themeTint="BF" w:sz="8" w:space="0"/>
          <w:bottom w:val="single" w:color="2198CF" w:themeColor="accent1" w:themeTint="BF" w:sz="8" w:space="0"/>
          <w:right w:val="single" w:color="2198CF" w:themeColor="accent1" w:themeTint="BF" w:sz="8" w:space="0"/>
          <w:insideH w:val="nil"/>
          <w:insideV w:val="nil"/>
        </w:tcBorders>
        <w:shd w:val="clear" w:color="auto" w:fill="156082" w:themeFill="accent1"/>
      </w:tcPr>
    </w:tblStylePr>
    <w:tblStylePr w:type="lastRow">
      <w:pPr>
        <w:spacing w:before="0" w:after="0" w:line="240" w:lineRule="auto"/>
      </w:pPr>
      <w:rPr>
        <w:b/>
        <w:bCs/>
      </w:rPr>
      <w:tblPr/>
      <w:tcPr>
        <w:tcBorders>
          <w:top w:val="double" w:color="2198CF" w:themeColor="accent1" w:themeTint="BF" w:sz="6" w:space="0"/>
          <w:left w:val="single" w:color="2198CF" w:themeColor="accent1" w:themeTint="BF" w:sz="8" w:space="0"/>
          <w:bottom w:val="single" w:color="2198CF" w:themeColor="accent1" w:themeTint="BF" w:sz="8" w:space="0"/>
          <w:right w:val="single" w:color="2198CF"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color="EE9465" w:themeColor="accent2" w:themeTint="BF" w:sz="8" w:space="0"/>
        <w:left w:val="single" w:color="EE9465" w:themeColor="accent2" w:themeTint="BF" w:sz="8" w:space="0"/>
        <w:bottom w:val="single" w:color="EE9465" w:themeColor="accent2" w:themeTint="BF" w:sz="8" w:space="0"/>
        <w:right w:val="single" w:color="EE9465" w:themeColor="accent2" w:themeTint="BF" w:sz="8" w:space="0"/>
        <w:insideH w:val="single" w:color="EE9465" w:themeColor="accent2" w:themeTint="BF" w:sz="8" w:space="0"/>
      </w:tblBorders>
    </w:tblPr>
    <w:tblStylePr w:type="firstRow">
      <w:pPr>
        <w:spacing w:before="0" w:after="0" w:line="240" w:lineRule="auto"/>
      </w:pPr>
      <w:rPr>
        <w:b/>
        <w:bCs/>
        <w:color w:val="FFFFFF" w:themeColor="background1"/>
      </w:rPr>
      <w:tblPr/>
      <w:tcPr>
        <w:tcBorders>
          <w:top w:val="single" w:color="EE9465" w:themeColor="accent2" w:themeTint="BF" w:sz="8" w:space="0"/>
          <w:left w:val="single" w:color="EE9465" w:themeColor="accent2" w:themeTint="BF" w:sz="8" w:space="0"/>
          <w:bottom w:val="single" w:color="EE9465" w:themeColor="accent2" w:themeTint="BF" w:sz="8" w:space="0"/>
          <w:right w:val="single" w:color="EE9465" w:themeColor="accent2" w:themeTint="BF" w:sz="8" w:space="0"/>
          <w:insideH w:val="nil"/>
          <w:insideV w:val="nil"/>
        </w:tcBorders>
        <w:shd w:val="clear" w:color="auto" w:fill="E97132" w:themeFill="accent2"/>
      </w:tcPr>
    </w:tblStylePr>
    <w:tblStylePr w:type="lastRow">
      <w:pPr>
        <w:spacing w:before="0" w:after="0" w:line="240" w:lineRule="auto"/>
      </w:pPr>
      <w:rPr>
        <w:b/>
        <w:bCs/>
      </w:rPr>
      <w:tblPr/>
      <w:tcPr>
        <w:tcBorders>
          <w:top w:val="double" w:color="EE9465" w:themeColor="accent2" w:themeTint="BF" w:sz="6" w:space="0"/>
          <w:left w:val="single" w:color="EE9465" w:themeColor="accent2" w:themeTint="BF" w:sz="8" w:space="0"/>
          <w:bottom w:val="single" w:color="EE9465" w:themeColor="accent2" w:themeTint="BF" w:sz="8" w:space="0"/>
          <w:right w:val="single" w:color="EE9465"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color="2BB73D" w:themeColor="accent3" w:themeTint="BF" w:sz="8" w:space="0"/>
        <w:left w:val="single" w:color="2BB73D" w:themeColor="accent3" w:themeTint="BF" w:sz="8" w:space="0"/>
        <w:bottom w:val="single" w:color="2BB73D" w:themeColor="accent3" w:themeTint="BF" w:sz="8" w:space="0"/>
        <w:right w:val="single" w:color="2BB73D" w:themeColor="accent3" w:themeTint="BF" w:sz="8" w:space="0"/>
        <w:insideH w:val="single" w:color="2BB73D" w:themeColor="accent3" w:themeTint="BF" w:sz="8" w:space="0"/>
      </w:tblBorders>
    </w:tblPr>
    <w:tblStylePr w:type="firstRow">
      <w:pPr>
        <w:spacing w:before="0" w:after="0" w:line="240" w:lineRule="auto"/>
      </w:pPr>
      <w:rPr>
        <w:b/>
        <w:bCs/>
        <w:color w:val="FFFFFF" w:themeColor="background1"/>
      </w:rPr>
      <w:tblPr/>
      <w:tcPr>
        <w:tcBorders>
          <w:top w:val="single" w:color="2BB73D" w:themeColor="accent3" w:themeTint="BF" w:sz="8" w:space="0"/>
          <w:left w:val="single" w:color="2BB73D" w:themeColor="accent3" w:themeTint="BF" w:sz="8" w:space="0"/>
          <w:bottom w:val="single" w:color="2BB73D" w:themeColor="accent3" w:themeTint="BF" w:sz="8" w:space="0"/>
          <w:right w:val="single" w:color="2BB73D" w:themeColor="accent3" w:themeTint="BF" w:sz="8" w:space="0"/>
          <w:insideH w:val="nil"/>
          <w:insideV w:val="nil"/>
        </w:tcBorders>
        <w:shd w:val="clear" w:color="auto" w:fill="196B24" w:themeFill="accent3"/>
      </w:tcPr>
    </w:tblStylePr>
    <w:tblStylePr w:type="lastRow">
      <w:pPr>
        <w:spacing w:before="0" w:after="0" w:line="240" w:lineRule="auto"/>
      </w:pPr>
      <w:rPr>
        <w:b/>
        <w:bCs/>
      </w:rPr>
      <w:tblPr/>
      <w:tcPr>
        <w:tcBorders>
          <w:top w:val="double" w:color="2BB73D" w:themeColor="accent3" w:themeTint="BF" w:sz="6" w:space="0"/>
          <w:left w:val="single" w:color="2BB73D" w:themeColor="accent3" w:themeTint="BF" w:sz="8" w:space="0"/>
          <w:bottom w:val="single" w:color="2BB73D" w:themeColor="accent3" w:themeTint="BF" w:sz="8" w:space="0"/>
          <w:right w:val="single" w:color="2BB73D"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color="39BEF1" w:themeColor="accent4" w:themeTint="BF" w:sz="8" w:space="0"/>
        <w:left w:val="single" w:color="39BEF1" w:themeColor="accent4" w:themeTint="BF" w:sz="8" w:space="0"/>
        <w:bottom w:val="single" w:color="39BEF1" w:themeColor="accent4" w:themeTint="BF" w:sz="8" w:space="0"/>
        <w:right w:val="single" w:color="39BEF1" w:themeColor="accent4" w:themeTint="BF" w:sz="8" w:space="0"/>
        <w:insideH w:val="single" w:color="39BEF1" w:themeColor="accent4" w:themeTint="BF" w:sz="8" w:space="0"/>
      </w:tblBorders>
    </w:tblPr>
    <w:tblStylePr w:type="firstRow">
      <w:pPr>
        <w:spacing w:before="0" w:after="0" w:line="240" w:lineRule="auto"/>
      </w:pPr>
      <w:rPr>
        <w:b/>
        <w:bCs/>
        <w:color w:val="FFFFFF" w:themeColor="background1"/>
      </w:rPr>
      <w:tblPr/>
      <w:tcPr>
        <w:tcBorders>
          <w:top w:val="single" w:color="39BEF1" w:themeColor="accent4" w:themeTint="BF" w:sz="8" w:space="0"/>
          <w:left w:val="single" w:color="39BEF1" w:themeColor="accent4" w:themeTint="BF" w:sz="8" w:space="0"/>
          <w:bottom w:val="single" w:color="39BEF1" w:themeColor="accent4" w:themeTint="BF" w:sz="8" w:space="0"/>
          <w:right w:val="single" w:color="39BEF1" w:themeColor="accent4" w:themeTint="BF" w:sz="8" w:space="0"/>
          <w:insideH w:val="nil"/>
          <w:insideV w:val="nil"/>
        </w:tcBorders>
        <w:shd w:val="clear" w:color="auto" w:fill="0F9ED5" w:themeFill="accent4"/>
      </w:tcPr>
    </w:tblStylePr>
    <w:tblStylePr w:type="lastRow">
      <w:pPr>
        <w:spacing w:before="0" w:after="0" w:line="240" w:lineRule="auto"/>
      </w:pPr>
      <w:rPr>
        <w:b/>
        <w:bCs/>
      </w:rPr>
      <w:tblPr/>
      <w:tcPr>
        <w:tcBorders>
          <w:top w:val="double" w:color="39BEF1" w:themeColor="accent4" w:themeTint="BF" w:sz="6" w:space="0"/>
          <w:left w:val="single" w:color="39BEF1" w:themeColor="accent4" w:themeTint="BF" w:sz="8" w:space="0"/>
          <w:bottom w:val="single" w:color="39BEF1" w:themeColor="accent4" w:themeTint="BF" w:sz="8" w:space="0"/>
          <w:right w:val="single" w:color="39BEF1"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color="CE49BF" w:themeColor="accent5" w:themeTint="BF" w:sz="8" w:space="0"/>
        <w:left w:val="single" w:color="CE49BF" w:themeColor="accent5" w:themeTint="BF" w:sz="8" w:space="0"/>
        <w:bottom w:val="single" w:color="CE49BF" w:themeColor="accent5" w:themeTint="BF" w:sz="8" w:space="0"/>
        <w:right w:val="single" w:color="CE49BF" w:themeColor="accent5" w:themeTint="BF" w:sz="8" w:space="0"/>
        <w:insideH w:val="single" w:color="CE49BF" w:themeColor="accent5" w:themeTint="BF" w:sz="8" w:space="0"/>
      </w:tblBorders>
    </w:tblPr>
    <w:tblStylePr w:type="firstRow">
      <w:pPr>
        <w:spacing w:before="0" w:after="0" w:line="240" w:lineRule="auto"/>
      </w:pPr>
      <w:rPr>
        <w:b/>
        <w:bCs/>
        <w:color w:val="FFFFFF" w:themeColor="background1"/>
      </w:rPr>
      <w:tblPr/>
      <w:tcPr>
        <w:tcBorders>
          <w:top w:val="single" w:color="CE49BF" w:themeColor="accent5" w:themeTint="BF" w:sz="8" w:space="0"/>
          <w:left w:val="single" w:color="CE49BF" w:themeColor="accent5" w:themeTint="BF" w:sz="8" w:space="0"/>
          <w:bottom w:val="single" w:color="CE49BF" w:themeColor="accent5" w:themeTint="BF" w:sz="8" w:space="0"/>
          <w:right w:val="single" w:color="CE49BF" w:themeColor="accent5" w:themeTint="BF" w:sz="8" w:space="0"/>
          <w:insideH w:val="nil"/>
          <w:insideV w:val="nil"/>
        </w:tcBorders>
        <w:shd w:val="clear" w:color="auto" w:fill="A02B93" w:themeFill="accent5"/>
      </w:tcPr>
    </w:tblStylePr>
    <w:tblStylePr w:type="lastRow">
      <w:pPr>
        <w:spacing w:before="0" w:after="0" w:line="240" w:lineRule="auto"/>
      </w:pPr>
      <w:rPr>
        <w:b/>
        <w:bCs/>
      </w:rPr>
      <w:tblPr/>
      <w:tcPr>
        <w:tcBorders>
          <w:top w:val="double" w:color="CE49BF" w:themeColor="accent5" w:themeTint="BF" w:sz="6" w:space="0"/>
          <w:left w:val="single" w:color="CE49BF" w:themeColor="accent5" w:themeTint="BF" w:sz="8" w:space="0"/>
          <w:bottom w:val="single" w:color="CE49BF" w:themeColor="accent5" w:themeTint="BF" w:sz="8" w:space="0"/>
          <w:right w:val="single" w:color="CE49B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color="71CF50" w:themeColor="accent6" w:themeTint="BF" w:sz="8" w:space="0"/>
        <w:left w:val="single" w:color="71CF50" w:themeColor="accent6" w:themeTint="BF" w:sz="8" w:space="0"/>
        <w:bottom w:val="single" w:color="71CF50" w:themeColor="accent6" w:themeTint="BF" w:sz="8" w:space="0"/>
        <w:right w:val="single" w:color="71CF50" w:themeColor="accent6" w:themeTint="BF" w:sz="8" w:space="0"/>
        <w:insideH w:val="single" w:color="71CF50" w:themeColor="accent6" w:themeTint="BF" w:sz="8" w:space="0"/>
      </w:tblBorders>
    </w:tblPr>
    <w:tblStylePr w:type="firstRow">
      <w:pPr>
        <w:spacing w:before="0" w:after="0" w:line="240" w:lineRule="auto"/>
      </w:pPr>
      <w:rPr>
        <w:b/>
        <w:bCs/>
        <w:color w:val="FFFFFF" w:themeColor="background1"/>
      </w:rPr>
      <w:tblPr/>
      <w:tcPr>
        <w:tcBorders>
          <w:top w:val="single" w:color="71CF50" w:themeColor="accent6" w:themeTint="BF" w:sz="8" w:space="0"/>
          <w:left w:val="single" w:color="71CF50" w:themeColor="accent6" w:themeTint="BF" w:sz="8" w:space="0"/>
          <w:bottom w:val="single" w:color="71CF50" w:themeColor="accent6" w:themeTint="BF" w:sz="8" w:space="0"/>
          <w:right w:val="single" w:color="71CF50" w:themeColor="accent6" w:themeTint="BF" w:sz="8" w:space="0"/>
          <w:insideH w:val="nil"/>
          <w:insideV w:val="nil"/>
        </w:tcBorders>
        <w:shd w:val="clear" w:color="auto" w:fill="4EA72E" w:themeFill="accent6"/>
      </w:tcPr>
    </w:tblStylePr>
    <w:tblStylePr w:type="lastRow">
      <w:pPr>
        <w:spacing w:before="0" w:after="0" w:line="240" w:lineRule="auto"/>
      </w:pPr>
      <w:rPr>
        <w:b/>
        <w:bCs/>
      </w:rPr>
      <w:tblPr/>
      <w:tcPr>
        <w:tcBorders>
          <w:top w:val="double" w:color="71CF50" w:themeColor="accent6" w:themeTint="BF" w:sz="6" w:space="0"/>
          <w:left w:val="single" w:color="71CF50" w:themeColor="accent6" w:themeTint="BF" w:sz="8" w:space="0"/>
          <w:bottom w:val="single" w:color="71CF50" w:themeColor="accent6" w:themeTint="BF" w:sz="8" w:space="0"/>
          <w:right w:val="single" w:color="71CF50"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unhideWhenUsed/>
    <w:rsid w:val="00827C87"/>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unhideWhenUsed/>
    <w:rsid w:val="00827C87"/>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unhideWhenUsed/>
    <w:rsid w:val="00827C87"/>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unhideWhenUsed/>
    <w:rsid w:val="00827C87"/>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unhideWhenUsed/>
    <w:rsid w:val="00827C87"/>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unhideWhenUsed/>
    <w:rsid w:val="00827C87"/>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unhideWhenUsed/>
    <w:rsid w:val="00827C87"/>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unhideWhenUsed/>
    <w:rsid w:val="00827C87"/>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unhideWhenUsed/>
    <w:rsid w:val="00827C87"/>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uiPriority w:val="39"/>
    <w:rsid w:val="00827C8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uiPriority w:val="99"/>
    <w:unhideWhenUsed/>
    <w:rsid w:val="00827C87"/>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unhideWhenUsed/>
    <w:rsid w:val="00827C87"/>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unhideWhenUsed/>
    <w:rsid w:val="00827C87"/>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unhideWhenUsed/>
    <w:rsid w:val="00827C87"/>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unhideWhenUsed/>
    <w:rsid w:val="00827C87"/>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unhideWhenUsed/>
    <w:rsid w:val="00827C87"/>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unhideWhenUsed/>
    <w:rsid w:val="00827C87"/>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unhideWhenUsed/>
    <w:rsid w:val="00827C87"/>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Light">
    <w:name w:val="Grid Table Light"/>
    <w:basedOn w:val="TableNormal"/>
    <w:uiPriority w:val="40"/>
    <w:rsid w:val="00827C87"/>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List1">
    <w:name w:val="Table List 1"/>
    <w:basedOn w:val="TableNormal"/>
    <w:uiPriority w:val="99"/>
    <w:unhideWhenUsed/>
    <w:rsid w:val="00827C87"/>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unhideWhenUsed/>
    <w:rsid w:val="00827C87"/>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unhideWhenUsed/>
    <w:rsid w:val="00827C87"/>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unhideWhenUsed/>
    <w:rsid w:val="00827C87"/>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unhideWhenUsed/>
    <w:rsid w:val="00827C87"/>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unhideWhenUsed/>
    <w:rsid w:val="00827C87"/>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unhideWhenUsed/>
    <w:rsid w:val="00827C87"/>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unhideWhenUsed/>
    <w:rsid w:val="00827C87"/>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uiPriority w:val="99"/>
    <w:unhideWhenUsed/>
    <w:rsid w:val="00827C87"/>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unhideWhenUsed/>
    <w:rsid w:val="00827C87"/>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unhideWhenUsed/>
    <w:rsid w:val="00827C87"/>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unhideWhenUsed/>
    <w:rsid w:val="00827C87"/>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unhideWhenUsed/>
    <w:rsid w:val="00827C87"/>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unhideWhenUsed/>
    <w:rsid w:val="00827C8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unhideWhenUsed/>
    <w:rsid w:val="00827C87"/>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unhideWhenUsed/>
    <w:rsid w:val="00827C87"/>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unhideWhenUsed/>
    <w:rsid w:val="00827C87"/>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MediumGrid3-Accent21" w:customStyle="1">
    <w:name w:val="Medium Grid 3 - Accent 21"/>
    <w:basedOn w:val="TableNormal"/>
    <w:next w:val="MediumGrid3-Accent2"/>
    <w:uiPriority w:val="69"/>
    <w:rsid w:val="00D17696"/>
    <w:pPr>
      <w:spacing w:after="0" w:line="240" w:lineRule="auto"/>
    </w:pPr>
    <w:rPr>
      <w:kern w:val="0"/>
      <w:sz w:val="22"/>
      <w:szCs w:val="22"/>
      <w:lang w:eastAsia="en-US"/>
      <w14:ligatures w14:val="none"/>
    </w:rPr>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C0504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DFA7A6"/>
      </w:tcPr>
    </w:tblStylePr>
  </w:style>
  <w:style w:type="table" w:styleId="GridTable5Dark-Accent21" w:customStyle="1">
    <w:name w:val="Grid Table 5 Dark - Accent 21"/>
    <w:basedOn w:val="TableNormal"/>
    <w:next w:val="GridTable5Dark-Accent2"/>
    <w:uiPriority w:val="50"/>
    <w:rsid w:val="00D17696"/>
    <w:pPr>
      <w:spacing w:after="0" w:line="240" w:lineRule="auto"/>
    </w:pPr>
    <w:rPr>
      <w:kern w:val="0"/>
      <w:sz w:val="22"/>
      <w:szCs w:val="22"/>
      <w:lang w:eastAsia="en-US"/>
      <w14:ligatures w14:val="none"/>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F2DBDB"/>
    </w:tcPr>
    <w:tblStylePr w:type="firstRow">
      <w:rPr>
        <w:b/>
        <w:bCs/>
        <w:color w:val="FFFFFF"/>
      </w:rPr>
      <w:tblPr/>
      <w:tcPr>
        <w:tcBorders>
          <w:top w:val="single" w:color="FFFFFF" w:sz="4" w:space="0"/>
          <w:left w:val="single" w:color="FFFFFF" w:sz="4" w:space="0"/>
          <w:right w:val="single" w:color="FFFFFF" w:sz="4" w:space="0"/>
          <w:insideH w:val="nil"/>
          <w:insideV w:val="nil"/>
        </w:tcBorders>
        <w:shd w:val="clear" w:color="auto" w:fill="C0504D"/>
      </w:tcPr>
    </w:tblStylePr>
    <w:tblStylePr w:type="lastRow">
      <w:rPr>
        <w:b/>
        <w:bCs/>
        <w:color w:val="FFFFFF"/>
      </w:rPr>
      <w:tblPr/>
      <w:tcPr>
        <w:tcBorders>
          <w:left w:val="single" w:color="FFFFFF" w:sz="4" w:space="0"/>
          <w:bottom w:val="single" w:color="FFFFFF" w:sz="4" w:space="0"/>
          <w:right w:val="single" w:color="FFFFFF" w:sz="4" w:space="0"/>
          <w:insideH w:val="nil"/>
          <w:insideV w:val="nil"/>
        </w:tcBorders>
        <w:shd w:val="clear" w:color="auto" w:fill="C0504D"/>
      </w:tcPr>
    </w:tblStylePr>
    <w:tblStylePr w:type="firstCol">
      <w:rPr>
        <w:b/>
        <w:bCs/>
        <w:color w:val="FFFFFF"/>
      </w:rPr>
      <w:tblPr/>
      <w:tcPr>
        <w:tcBorders>
          <w:top w:val="single" w:color="FFFFFF" w:sz="4" w:space="0"/>
          <w:left w:val="single" w:color="FFFFFF" w:sz="4" w:space="0"/>
          <w:bottom w:val="single" w:color="FFFFFF" w:sz="4" w:space="0"/>
          <w:insideV w:val="nil"/>
        </w:tcBorders>
        <w:shd w:val="clear" w:color="auto" w:fill="C0504D"/>
      </w:tcPr>
    </w:tblStylePr>
    <w:tblStylePr w:type="lastCol">
      <w:rPr>
        <w:b/>
        <w:bCs/>
        <w:color w:val="FFFFFF"/>
      </w:rPr>
      <w:tblPr/>
      <w:tcPr>
        <w:tcBorders>
          <w:top w:val="single" w:color="FFFFFF" w:sz="4" w:space="0"/>
          <w:bottom w:val="single" w:color="FFFFFF" w:sz="4" w:space="0"/>
          <w:right w:val="single" w:color="FFFFFF" w:sz="4" w:space="0"/>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character" w:styleId="Hyperlink">
    <w:name w:val="Hyperlink"/>
    <w:basedOn w:val="DefaultParagraphFont"/>
    <w:uiPriority w:val="99"/>
    <w:unhideWhenUsed/>
    <w:rsid w:val="00D16662"/>
    <w:rPr>
      <w:color w:val="467886" w:themeColor="hyperlink"/>
      <w:u w:val="single"/>
    </w:rPr>
  </w:style>
  <w:style w:type="character" w:styleId="NoSpacingChar" w:customStyle="1">
    <w:name w:val="No Spacing Char"/>
    <w:basedOn w:val="DefaultParagraphFont"/>
    <w:link w:val="NoSpacing"/>
    <w:uiPriority w:val="1"/>
    <w:rsid w:val="00E90B6C"/>
  </w:style>
  <w:style w:type="paragraph" w:styleId="List" w:customStyle="1">
    <w:name w:val="List #"/>
    <w:basedOn w:val="ListParagraph"/>
    <w:qFormat/>
    <w:rsid w:val="00885B77"/>
    <w:pPr>
      <w:numPr>
        <w:numId w:val="33"/>
      </w:numPr>
      <w:tabs>
        <w:tab w:val="left" w:pos="567"/>
      </w:tabs>
      <w:spacing w:before="240" w:after="0" w:line="264" w:lineRule="auto"/>
      <w:contextualSpacing w:val="0"/>
    </w:pPr>
    <w:rPr>
      <w:rFonts w:ascii="Arial" w:hAnsi="Arial" w:eastAsia="Calibri" w:cs="Arial"/>
      <w:b/>
      <w:kern w:val="0"/>
      <w:sz w:val="20"/>
      <w:szCs w:val="20"/>
      <w:lang w:val="en-NZ" w:eastAsia="en-US"/>
      <w14:ligatures w14:val="none"/>
    </w:rPr>
  </w:style>
  <w:style w:type="character" w:styleId="UnresolvedMention">
    <w:name w:val="Unresolved Mention"/>
    <w:basedOn w:val="DefaultParagraphFont"/>
    <w:uiPriority w:val="99"/>
    <w:semiHidden/>
    <w:unhideWhenUsed/>
    <w:rsid w:val="00A86F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gif"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1.xm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www.legislation.govt.nz/act/public/2020/0038/latest/LMS177903.html?search=qs_act%40bill%40regulation%40deemedreg_education+and+training+act_resel_25_h&amp;p=1"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glossaryDocument" Target="glossary/document.xml" Id="rId24" /><Relationship Type="http://schemas.openxmlformats.org/officeDocument/2006/relationships/customXml" Target="../customXml/item5.xml" Id="rId5" /><Relationship Type="http://schemas.openxmlformats.org/officeDocument/2006/relationships/hyperlink" Target="https://www.legislation.govt.nz/act/public/2020/0038/latest/LMS177897.html?search=qs_act%40bill%40regulation%40deemedreg_education+and+training+act_resel_25_h&amp;p=1" TargetMode="External" Id="rId15" /><Relationship Type="http://schemas.openxmlformats.org/officeDocument/2006/relationships/fontTable" Target="fontTable.xml" Id="rId23" /><Relationship Type="http://schemas.openxmlformats.org/officeDocument/2006/relationships/webSettings" Target="webSetting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https://www.legislation.govt.nz/act/public/2020/0038/latest/LMS177898.html?search=qs_act%40bill%40regulation%40deemedreg_education+and+training+act_resel_25_h&amp;p=1" TargetMode="External" Id="rId14" /><Relationship Type="http://schemas.openxmlformats.org/officeDocument/2006/relationships/footer" Target="footer3.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B04AC20DE54BAE943EC93FAABE95F6"/>
        <w:category>
          <w:name w:val="General"/>
          <w:gallery w:val="placeholder"/>
        </w:category>
        <w:types>
          <w:type w:val="bbPlcHdr"/>
        </w:types>
        <w:behaviors>
          <w:behavior w:val="content"/>
        </w:behaviors>
        <w:guid w:val="{978442DC-A2EF-4B34-935F-48B9181DC4AD}"/>
      </w:docPartPr>
      <w:docPartBody>
        <w:p xmlns:wp14="http://schemas.microsoft.com/office/word/2010/wordml" w:rsidR="00F17D17" w:rsidP="00EA5537" w:rsidRDefault="00EA5537" w14:paraId="6B00D73C" wp14:textId="77777777">
          <w:pPr>
            <w:pStyle w:val="7FB04AC20DE54BAE943EC93FAABE95F6"/>
          </w:pPr>
          <w:r>
            <w:rPr>
              <w:rFonts w:asciiTheme="majorHAnsi" w:hAnsiTheme="majorHAnsi" w:eastAsiaTheme="majorEastAsia" w:cstheme="majorBidi"/>
              <w:caps/>
              <w:color w:val="156082" w:themeColor="accent1"/>
              <w:sz w:val="80"/>
              <w:szCs w:val="80"/>
            </w:rPr>
            <w:t>[Document title]</w:t>
          </w:r>
        </w:p>
      </w:docPartBody>
    </w:docPart>
    <w:docPart>
      <w:docPartPr>
        <w:name w:val="27ACD4153D3648FCB896260EBB616519"/>
        <w:category>
          <w:name w:val="General"/>
          <w:gallery w:val="placeholder"/>
        </w:category>
        <w:types>
          <w:type w:val="bbPlcHdr"/>
        </w:types>
        <w:behaviors>
          <w:behavior w:val="content"/>
        </w:behaviors>
        <w:guid w:val="{DCB268DC-EB82-487B-8D5D-AF395C61CFC5}"/>
      </w:docPartPr>
      <w:docPartBody>
        <w:p xmlns:wp14="http://schemas.microsoft.com/office/word/2010/wordml" w:rsidR="00F17D17" w:rsidP="00EA5537" w:rsidRDefault="00EA5537" w14:paraId="136F01AE" wp14:textId="77777777">
          <w:pPr>
            <w:pStyle w:val="27ACD4153D3648FCB896260EBB616519"/>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537"/>
    <w:rsid w:val="00125677"/>
    <w:rsid w:val="001858EC"/>
    <w:rsid w:val="002A2059"/>
    <w:rsid w:val="002D2F46"/>
    <w:rsid w:val="003A18AB"/>
    <w:rsid w:val="004A2531"/>
    <w:rsid w:val="0051108A"/>
    <w:rsid w:val="00647402"/>
    <w:rsid w:val="007D55B5"/>
    <w:rsid w:val="00820B36"/>
    <w:rsid w:val="00820E53"/>
    <w:rsid w:val="008730C0"/>
    <w:rsid w:val="00965966"/>
    <w:rsid w:val="009D006D"/>
    <w:rsid w:val="00BA0420"/>
    <w:rsid w:val="00BD5431"/>
    <w:rsid w:val="00CC757C"/>
    <w:rsid w:val="00D92259"/>
    <w:rsid w:val="00DA0874"/>
    <w:rsid w:val="00DA1E12"/>
    <w:rsid w:val="00EA53C8"/>
    <w:rsid w:val="00EA5537"/>
    <w:rsid w:val="00F17D17"/>
    <w:rsid w:val="00F97A9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B04AC20DE54BAE943EC93FAABE95F6">
    <w:name w:val="7FB04AC20DE54BAE943EC93FAABE95F6"/>
    <w:rsid w:val="00EA5537"/>
  </w:style>
  <w:style w:type="paragraph" w:customStyle="1" w:styleId="27ACD4153D3648FCB896260EBB616519">
    <w:name w:val="27ACD4153D3648FCB896260EBB616519"/>
    <w:rsid w:val="00EA55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2025-01-01T00:00:00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A2F92ECD34218428C7F232A57A93DDC" ma:contentTypeVersion="20" ma:contentTypeDescription="Create a new document." ma:contentTypeScope="" ma:versionID="e12040035ceefbcc41f692a92dafcafd">
  <xsd:schema xmlns:xsd="http://www.w3.org/2001/XMLSchema" xmlns:xs="http://www.w3.org/2001/XMLSchema" xmlns:p="http://schemas.microsoft.com/office/2006/metadata/properties" xmlns:ns2="3724835d-20ad-4f52-a9ac-ec0a6cacda0e" xmlns:ns3="f0567552-3799-4346-beb3-d862841cfd80" targetNamespace="http://schemas.microsoft.com/office/2006/metadata/properties" ma:root="true" ma:fieldsID="13201e3316821baeee9f6a043e6c28f3" ns2:_="" ns3:_="">
    <xsd:import namespace="3724835d-20ad-4f52-a9ac-ec0a6cacda0e"/>
    <xsd:import namespace="f0567552-3799-4346-beb3-d862841cfd80"/>
    <xsd:element name="properties">
      <xsd:complexType>
        <xsd:sequence>
          <xsd:element name="documentManagement">
            <xsd:complexType>
              <xsd:all>
                <xsd:element ref="ns2:_dlc_DocId" minOccurs="0"/>
                <xsd:element ref="ns2:_dlc_DocIdUrl" minOccurs="0"/>
                <xsd:element ref="ns2:_dlc_DocIdPersistId" minOccurs="0"/>
                <xsd:element ref="ns2:e9b6972f62474cc29b4fb746757d99cd" minOccurs="0"/>
                <xsd:element ref="ns2:TaxCatchAll" minOccurs="0"/>
                <xsd:element ref="ns2:TaxCatchAllLabel"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24835d-20ad-4f52-a9ac-ec0a6cacda0e"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e9b6972f62474cc29b4fb746757d99cd" ma:index="7" nillable="true" ma:taxonomy="true" ma:internalName="e9b6972f62474cc29b4fb746757d99cd" ma:taxonomyFieldName="NZCEO_x0020_File_x0020_Code" ma:displayName="NZCEO File Code" ma:default="" ma:fieldId="{e9b6972f-6247-4cc2-9b4f-b746757d99cd}" ma:taxonomyMulti="true" ma:sspId="66171eaa-ab25-4e5e-b55c-0ce60966998b" ma:termSetId="7307907e-8fdc-4e72-810b-578d9c3ed4c0" ma:anchorId="00000000-0000-0000-0000-000000000000" ma:open="false" ma:isKeyword="false">
      <xsd:complexType>
        <xsd:sequence>
          <xsd:element ref="pc:Terms" minOccurs="0" maxOccurs="1"/>
        </xsd:sequence>
      </xsd:complexType>
    </xsd:element>
    <xsd:element name="TaxCatchAll" ma:index="8" nillable="true" ma:displayName="Taxonomy Catch All Column" ma:description="" ma:hidden="true" ma:list="{022baa06-1ff0-4206-bc2f-286ce2321b2c}" ma:internalName="TaxCatchAll" ma:showField="CatchAllData" ma:web="3724835d-20ad-4f52-a9ac-ec0a6cacda0e">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022baa06-1ff0-4206-bc2f-286ce2321b2c}" ma:internalName="TaxCatchAllLabel" ma:readOnly="true" ma:showField="CatchAllDataLabel" ma:web="3724835d-20ad-4f52-a9ac-ec0a6cacda0e">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567552-3799-4346-beb3-d862841cfd80" elementFormDefault="qualified">
    <xsd:import namespace="http://schemas.microsoft.com/office/2006/documentManagement/types"/>
    <xsd:import namespace="http://schemas.microsoft.com/office/infopath/2007/PartnerControls"/>
    <xsd:element name="MediaServiceMetadata" ma:index="17" nillable="true" ma:displayName="MediaServiceMetadata" ma:description="" ma:hidden="true" ma:internalName="MediaServiceMetadata" ma:readOnly="true">
      <xsd:simpleType>
        <xsd:restriction base="dms:Note"/>
      </xsd:simpleType>
    </xsd:element>
    <xsd:element name="MediaServiceFastMetadata" ma:index="18" nillable="true" ma:displayName="MediaServiceFastMetadata" ma:description="" ma:hidden="true" ma:internalName="MediaServiceFastMetadata" ma:readOnly="true">
      <xsd:simpleType>
        <xsd:restriction base="dms:Note"/>
      </xsd:simpleType>
    </xsd:element>
    <xsd:element name="MediaServiceAutoTags" ma:index="19" nillable="true" ma:displayName="MediaServiceAutoTags" ma:description="" ma:internalName="MediaServiceAutoTags" ma:readOnly="true">
      <xsd:simpleType>
        <xsd:restriction base="dms:Text"/>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Location" ma:index="21" nillable="true" ma:displayName="MediaServiceLocation" ma:description="" ma:internalName="MediaServiceLocation"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66171eaa-ab25-4e5e-b55c-0ce60966998b" ma:termSetId="09814cd3-568e-fe90-9814-8d621ff8fb84" ma:anchorId="fba54fb3-c3e1-fe81-a776-ca4b69148c4d" ma:open="true" ma:isKeyword="false">
      <xsd:complexType>
        <xsd:sequence>
          <xsd:element ref="pc:Terms" minOccurs="0" maxOccurs="1"/>
        </xsd:sequence>
      </xsd:complex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9b6972f62474cc29b4fb746757d99cd xmlns="3724835d-20ad-4f52-a9ac-ec0a6cacda0e">
      <Terms xmlns="http://schemas.microsoft.com/office/infopath/2007/PartnerControls">
        <TermInfo xmlns="http://schemas.microsoft.com/office/infopath/2007/PartnerControls">
          <TermName xmlns="http://schemas.microsoft.com/office/infopath/2007/PartnerControls">Publications</TermName>
          <TermId xmlns="http://schemas.microsoft.com/office/infopath/2007/PartnerControls">6440b453-5124-480b-9f7d-1eca56f59c2f</TermId>
        </TermInfo>
      </Terms>
    </e9b6972f62474cc29b4fb746757d99cd>
    <TaxCatchAll xmlns="3724835d-20ad-4f52-a9ac-ec0a6cacda0e">
      <Value>19</Value>
    </TaxCatchAll>
    <lcf76f155ced4ddcb4097134ff3c332f xmlns="f0567552-3799-4346-beb3-d862841cfd80">
      <Terms xmlns="http://schemas.microsoft.com/office/infopath/2007/PartnerControls"/>
    </lcf76f155ced4ddcb4097134ff3c332f>
    <_dlc_DocId xmlns="3724835d-20ad-4f52-a9ac-ec0a6cacda0e">K4D7DZP5TMAP-1861121068-4924</_dlc_DocId>
    <_dlc_DocIdUrl xmlns="3724835d-20ad-4f52-a9ac-ec0a6cacda0e">
      <Url>https://nzceo.sharepoint.com/nzceoltd/_layouts/15/DocIdRedir.aspx?ID=K4D7DZP5TMAP-1861121068-4924</Url>
      <Description>K4D7DZP5TMAP-1861121068-4924</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061BE98-2E6F-48F6-B826-831AC080CDBF}">
  <ds:schemaRefs>
    <ds:schemaRef ds:uri="http://schemas.microsoft.com/sharepoint/v3/contenttype/forms"/>
  </ds:schemaRefs>
</ds:datastoreItem>
</file>

<file path=customXml/itemProps3.xml><?xml version="1.0" encoding="utf-8"?>
<ds:datastoreItem xmlns:ds="http://schemas.openxmlformats.org/officeDocument/2006/customXml" ds:itemID="{3D136CF0-B2B6-4C98-A3BC-F75900F39FB4}">
  <ds:schemaRefs>
    <ds:schemaRef ds:uri="http://schemas.microsoft.com/sharepoint/events"/>
  </ds:schemaRefs>
</ds:datastoreItem>
</file>

<file path=customXml/itemProps4.xml><?xml version="1.0" encoding="utf-8"?>
<ds:datastoreItem xmlns:ds="http://schemas.openxmlformats.org/officeDocument/2006/customXml" ds:itemID="{A0467F84-A7EA-434A-B3EC-6F7924A048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24835d-20ad-4f52-a9ac-ec0a6cacda0e"/>
    <ds:schemaRef ds:uri="f0567552-3799-4346-beb3-d862841cf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E0467C5-98C4-4328-BFCA-D2ECAC3C1D44}">
  <ds:schemaRefs>
    <ds:schemaRef ds:uri="http://schemas.microsoft.com/office/2006/metadata/properties"/>
    <ds:schemaRef ds:uri="http://schemas.microsoft.com/office/infopath/2007/PartnerControls"/>
    <ds:schemaRef ds:uri="3724835d-20ad-4f52-a9ac-ec0a6cacda0e"/>
    <ds:schemaRef ds:uri="f0567552-3799-4346-beb3-d862841cfd80"/>
  </ds:schemaRefs>
</ds:datastoreItem>
</file>

<file path=customXml/itemProps6.xml><?xml version="1.0" encoding="utf-8"?>
<ds:datastoreItem xmlns:ds="http://schemas.openxmlformats.org/officeDocument/2006/customXml" ds:itemID="{587065F1-790A-4AD5-9115-C6F3E355FAE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APIS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understanding</dc:title>
  <dc:subject>Between</dc:subject>
  <dc:creator>k.Raitt@nzceo.org.nz</dc:creator>
  <cp:keywords/>
  <dc:description/>
  <cp:lastModifiedBy>Guest User</cp:lastModifiedBy>
  <cp:revision>19</cp:revision>
  <cp:lastPrinted>2026-03-03T02:41:00Z</cp:lastPrinted>
  <dcterms:created xsi:type="dcterms:W3CDTF">2026-02-17T01:57:00Z</dcterms:created>
  <dcterms:modified xsi:type="dcterms:W3CDTF">2026-08-24T05:23:36Z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0x010100BA2F92ECD34218428C7F232A57A93DDC</vt:lpwstr>
  </property>
  <property fmtid="{D5CDD505-2E9C-101B-9397-08002B2CF9AE}" pid="3" name="_dlc_DocIdItemGuid">
    <vt:lpwstr>fa97dc8f-c577-4444-8c1f-fb82ab4abc32</vt:lpwstr>
  </property>
  <property fmtid="{D5CDD505-2E9C-101B-9397-08002B2CF9AE}" pid="4" name="MediaServiceImageTags">
    <vt:lpwstr/>
  </property>
  <property fmtid="{D5CDD505-2E9C-101B-9397-08002B2CF9AE}" pid="5" name="NZCEO File Code">
    <vt:lpwstr>19;#Publications|6440b453-5124-480b-9f7d-1eca56f59c2f</vt:lpwstr>
  </property>
  <property fmtid="{D5CDD505-2E9C-101B-9397-08002B2CF9AE}" pid="6" name="NZCEO_x0020_File_x0020_Code">
    <vt:lpwstr>19;#Publications|6440b453-5124-480b-9f7d-1eca56f59c2f</vt:lpwstr>
  </property>
  <property fmtid="{D5CDD505-2E9C-101B-9397-08002B2CF9AE}" pid="7" name="docLang">
    <vt:lpwstr>en</vt:lpwstr>
  </property>
</Properties>
</file>